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2.0 -->
  <w:body>
    <w:p>
      <w:pPr>
        <w:pStyle w:val="BodyText"/>
        <w:spacing w:before="0"/>
        <w:ind w:left="0"/>
        <w:rPr>
          <w:sz w:val="48"/>
        </w:rPr>
      </w:pPr>
    </w:p>
    <w:p>
      <w:pPr>
        <w:pStyle w:val="BodyText"/>
        <w:spacing w:before="0"/>
        <w:ind w:left="0"/>
        <w:rPr>
          <w:sz w:val="48"/>
        </w:rPr>
      </w:pPr>
    </w:p>
    <w:p>
      <w:pPr>
        <w:pStyle w:val="BodyText"/>
        <w:spacing w:before="198"/>
        <w:ind w:left="0"/>
        <w:rPr>
          <w:sz w:val="48"/>
        </w:rPr>
      </w:pPr>
    </w:p>
    <w:p>
      <w:pPr>
        <w:pStyle w:val="Title"/>
        <w:spacing w:line="297" w:lineRule="auto"/>
      </w:pPr>
      <w:r>
        <w:rPr>
          <w:sz w:val="45"/>
        </w:rPr>
        <w:t xml:space="preserve">HK-400Ⅲ VET injekční </w:t>
      </w:r>
      <w:r>
        <w:rPr>
          <w:sz w:val="45"/>
        </w:rPr>
        <w:t>pumpa Návod k použití</w:t>
      </w:r>
    </w:p>
    <w:p>
      <w:pPr>
        <w:pStyle w:val="BodyText"/>
        <w:spacing w:before="0"/>
        <w:ind w:left="0"/>
        <w:rPr>
          <w:b/>
          <w:sz w:val="48"/>
        </w:rPr>
      </w:pPr>
    </w:p>
    <w:p>
      <w:pPr>
        <w:pStyle w:val="BodyText"/>
        <w:spacing w:before="0"/>
        <w:ind w:left="0"/>
        <w:rPr>
          <w:b/>
          <w:sz w:val="48"/>
        </w:rPr>
      </w:pPr>
    </w:p>
    <w:p>
      <w:pPr>
        <w:pStyle w:val="BodyText"/>
        <w:spacing w:before="0"/>
        <w:ind w:left="0"/>
        <w:rPr>
          <w:b/>
          <w:sz w:val="48"/>
        </w:rPr>
      </w:pPr>
    </w:p>
    <w:p>
      <w:pPr>
        <w:pStyle w:val="BodyText"/>
        <w:spacing w:before="199"/>
        <w:ind w:left="0"/>
        <w:rPr>
          <w:b/>
          <w:sz w:val="48"/>
        </w:rPr>
      </w:pPr>
    </w:p>
    <w:p>
      <w:pPr>
        <w:spacing w:before="0"/>
        <w:ind w:left="121" w:right="1" w:firstLine="0"/>
        <w:jc w:val="center"/>
        <w:rPr>
          <w:b/>
          <w:sz w:val="24"/>
        </w:rPr>
      </w:pPr>
      <w:r>
        <w:rPr>
          <w:b/>
          <w:sz w:val="22"/>
        </w:rPr>
        <w:t xml:space="preserve">Shenzhen </w:t>
      </w:r>
      <w:r>
        <w:rPr>
          <w:b/>
          <w:sz w:val="22"/>
        </w:rPr>
        <w:t xml:space="preserve">Hawk </w:t>
      </w:r>
      <w:r>
        <w:rPr>
          <w:b/>
          <w:sz w:val="22"/>
        </w:rPr>
        <w:t xml:space="preserve">Medical </w:t>
      </w:r>
      <w:r>
        <w:rPr>
          <w:b/>
          <w:sz w:val="22"/>
        </w:rPr>
        <w:t xml:space="preserve">Instrument </w:t>
      </w:r>
      <w:r>
        <w:rPr>
          <w:b/>
          <w:sz w:val="22"/>
        </w:rPr>
        <w:t xml:space="preserve">Co., </w:t>
      </w:r>
      <w:r>
        <w:rPr>
          <w:b/>
          <w:spacing w:val="-4"/>
          <w:sz w:val="22"/>
        </w:rPr>
        <w:t>Ltd.</w:t>
      </w:r>
    </w:p>
    <w:p>
      <w:pPr>
        <w:pStyle w:val="BodyText"/>
        <w:spacing w:before="172"/>
        <w:ind w:left="0"/>
        <w:rPr>
          <w:b/>
          <w:sz w:val="24"/>
        </w:rPr>
      </w:pPr>
    </w:p>
    <w:p>
      <w:pPr>
        <w:spacing w:before="0" w:line="264" w:lineRule="auto"/>
        <w:ind w:left="3076" w:right="0" w:hanging="2780"/>
        <w:jc w:val="left"/>
        <w:rPr>
          <w:sz w:val="21"/>
        </w:rPr>
      </w:pPr>
      <w:r>
        <w:rPr>
          <w:sz w:val="19"/>
        </w:rPr>
        <w:t xml:space="preserve">Před </w:t>
      </w:r>
      <w:r>
        <w:rPr>
          <w:sz w:val="19"/>
        </w:rPr>
        <w:t xml:space="preserve">instalací </w:t>
      </w:r>
      <w:r>
        <w:rPr>
          <w:sz w:val="19"/>
        </w:rPr>
        <w:t xml:space="preserve">a </w:t>
      </w:r>
      <w:r>
        <w:rPr>
          <w:sz w:val="19"/>
        </w:rPr>
        <w:t xml:space="preserve">použitím </w:t>
      </w:r>
      <w:r>
        <w:rPr>
          <w:sz w:val="19"/>
        </w:rPr>
        <w:t xml:space="preserve">produktu </w:t>
      </w:r>
      <w:r>
        <w:rPr>
          <w:sz w:val="19"/>
        </w:rPr>
        <w:t xml:space="preserve">si </w:t>
      </w:r>
      <w:r>
        <w:rPr>
          <w:sz w:val="19"/>
        </w:rPr>
        <w:t xml:space="preserve">přečtěte </w:t>
      </w:r>
      <w:r>
        <w:rPr>
          <w:sz w:val="19"/>
        </w:rPr>
        <w:t xml:space="preserve">návod </w:t>
      </w:r>
      <w:r>
        <w:rPr>
          <w:sz w:val="19"/>
        </w:rPr>
        <w:t xml:space="preserve">k použití </w:t>
      </w:r>
      <w:r>
        <w:rPr>
          <w:sz w:val="19"/>
        </w:rPr>
        <w:t xml:space="preserve">a </w:t>
      </w:r>
      <w:r>
        <w:rPr>
          <w:sz w:val="19"/>
        </w:rPr>
        <w:t xml:space="preserve">uschovejte </w:t>
      </w:r>
      <w:r>
        <w:rPr>
          <w:sz w:val="19"/>
        </w:rPr>
        <w:t xml:space="preserve">jej </w:t>
      </w:r>
      <w:r>
        <w:rPr>
          <w:sz w:val="19"/>
        </w:rPr>
        <w:t>pro budoucí potřebu.</w:t>
      </w:r>
    </w:p>
    <w:p>
      <w:pPr>
        <w:pStyle w:val="BodyText"/>
        <w:spacing w:before="0"/>
        <w:ind w:left="0"/>
        <w:rPr>
          <w:sz w:val="21"/>
        </w:rPr>
      </w:pPr>
    </w:p>
    <w:p>
      <w:pPr>
        <w:pStyle w:val="BodyText"/>
        <w:spacing w:before="0"/>
        <w:ind w:left="0"/>
        <w:rPr>
          <w:sz w:val="21"/>
        </w:rPr>
      </w:pPr>
    </w:p>
    <w:p>
      <w:pPr>
        <w:pStyle w:val="BodyText"/>
        <w:spacing w:before="0"/>
        <w:ind w:left="0"/>
        <w:rPr>
          <w:sz w:val="21"/>
        </w:rPr>
      </w:pPr>
    </w:p>
    <w:p>
      <w:pPr>
        <w:pStyle w:val="BodyText"/>
        <w:spacing w:before="0"/>
        <w:ind w:left="0"/>
        <w:rPr>
          <w:sz w:val="21"/>
        </w:rPr>
      </w:pPr>
    </w:p>
    <w:p>
      <w:pPr>
        <w:pStyle w:val="BodyText"/>
        <w:spacing w:before="0"/>
        <w:ind w:left="0"/>
        <w:rPr>
          <w:sz w:val="21"/>
        </w:rPr>
      </w:pPr>
    </w:p>
    <w:p>
      <w:pPr>
        <w:pStyle w:val="BodyText"/>
        <w:spacing w:before="0"/>
        <w:ind w:left="0"/>
        <w:rPr>
          <w:sz w:val="21"/>
        </w:rPr>
      </w:pPr>
    </w:p>
    <w:p>
      <w:pPr>
        <w:pStyle w:val="BodyText"/>
        <w:spacing w:before="0"/>
        <w:ind w:left="0"/>
        <w:rPr>
          <w:sz w:val="21"/>
        </w:rPr>
      </w:pPr>
    </w:p>
    <w:p>
      <w:pPr>
        <w:pStyle w:val="BodyText"/>
        <w:spacing w:before="0"/>
        <w:ind w:left="0"/>
        <w:rPr>
          <w:sz w:val="21"/>
        </w:rPr>
      </w:pPr>
    </w:p>
    <w:p>
      <w:pPr>
        <w:pStyle w:val="BodyText"/>
        <w:spacing w:before="0"/>
        <w:ind w:left="0"/>
        <w:rPr>
          <w:sz w:val="21"/>
        </w:rPr>
      </w:pPr>
    </w:p>
    <w:p>
      <w:pPr>
        <w:pStyle w:val="BodyText"/>
        <w:spacing w:before="39"/>
        <w:ind w:left="0"/>
        <w:rPr>
          <w:sz w:val="21"/>
        </w:rPr>
      </w:pPr>
    </w:p>
    <w:p>
      <w:pPr>
        <w:pStyle w:val="BodyText"/>
        <w:spacing w:before="0"/>
        <w:ind w:left="0" w:right="293"/>
        <w:jc w:val="right"/>
      </w:pPr>
      <w:r>
        <w:rPr>
          <w:spacing w:val="-5"/>
          <w:sz w:val="16"/>
        </w:rPr>
        <w:t>057-00475-02</w:t>
      </w:r>
    </w:p>
    <w:p>
      <w:pPr>
        <w:pStyle w:val="BodyText"/>
        <w:spacing w:after="0"/>
        <w:jc w:val="right"/>
        <w:sectPr>
          <w:type w:val="continuous"/>
          <w:pgSz w:w="8390" w:h="11910"/>
          <w:pgMar w:top="1340" w:right="425" w:bottom="280" w:left="425" w:header="708" w:footer="708"/>
          <w:cols w:space="708"/>
        </w:sectPr>
      </w:pPr>
    </w:p>
    <w:p>
      <w:pPr>
        <w:pStyle w:val="Heading1"/>
        <w:spacing w:before="71"/>
        <w:ind w:left="120" w:right="121" w:firstLine="0"/>
        <w:jc w:val="center"/>
      </w:pPr>
      <w:r>
        <w:rPr>
          <w:spacing w:val="-2"/>
          <w:sz w:val="18"/>
        </w:rPr>
        <w:t>Obsah</w:t>
      </w:r>
    </w:p>
    <w:p>
      <w:pPr>
        <w:pStyle w:val="Heading1"/>
        <w:spacing w:after="0"/>
        <w:jc w:val="center"/>
        <w:sectPr>
          <w:footerReference w:type="default" r:id="rId4"/>
          <w:pgSz w:w="8390" w:h="11910"/>
          <w:pgMar w:top="720" w:right="425" w:bottom="787" w:left="425" w:header="0" w:footer="342"/>
          <w:pgNumType w:start="1"/>
          <w:cols w:space="708"/>
        </w:sectPr>
      </w:pPr>
    </w:p>
    <w:sdt>
      <w:sdtPr>
        <w:id w:val="998531115"/>
        <w:docPartObj>
          <w:docPartGallery w:val="Table of Contents"/>
          <w:docPartUnique/>
        </w:docPartObj>
      </w:sdtPr>
      <w:sdtContent>
        <w:p>
          <w:pPr>
            <w:pStyle w:val="TOC1"/>
            <w:tabs>
              <w:tab w:val="right" w:leader="dot" w:pos="7244"/>
            </w:tabs>
            <w:spacing w:before="199"/>
            <w:ind w:left="295" w:firstLine="0"/>
          </w:pPr>
          <w:hyperlink w:anchor="_bookmark0" w:history="1">
            <w:r>
              <w:rPr>
                <w:spacing w:val="-2"/>
                <w:sz w:val="16"/>
              </w:rPr>
              <w:t xml:space="preserve">Prohlášení </w:t>
            </w:r>
            <w:r>
              <w:rPr>
                <w:sz w:val="16"/>
              </w:rPr>
              <w:t xml:space="preserve">o revizi </w:t>
            </w:r>
            <w:r>
              <w:rPr>
                <w:sz w:val="16"/>
              </w:rPr>
              <w:t>příručky</w:t>
            </w:r>
          </w:hyperlink>
          <w:r>
            <w:rPr>
              <w:sz w:val="16"/>
            </w:rPr>
            <w:tab/>
          </w:r>
          <w:hyperlink w:anchor="_bookmark0" w:history="1">
            <w:r>
              <w:rPr>
                <w:spacing w:val="-10"/>
                <w:sz w:val="16"/>
              </w:rPr>
              <w:t>1</w:t>
            </w:r>
          </w:hyperlink>
        </w:p>
        <w:p>
          <w:pPr>
            <w:pStyle w:val="TOC1"/>
            <w:numPr>
              <w:ilvl w:val="0"/>
              <w:numId w:val="44"/>
            </w:numPr>
            <w:tabs>
              <w:tab w:val="left" w:pos="429"/>
              <w:tab w:val="right" w:leader="dot" w:pos="7244"/>
            </w:tabs>
            <w:spacing w:before="95" w:after="0" w:line="240" w:lineRule="auto"/>
            <w:ind w:left="429" w:right="0" w:hanging="134"/>
            <w:jc w:val="left"/>
          </w:pPr>
          <w:hyperlink w:anchor="_bookmark1" w:history="1">
            <w:r>
              <w:rPr>
                <w:sz w:val="16"/>
              </w:rPr>
              <w:t xml:space="preserve">Varování </w:t>
            </w:r>
            <w:r>
              <w:rPr>
                <w:sz w:val="16"/>
              </w:rPr>
              <w:t xml:space="preserve">a </w:t>
            </w:r>
            <w:r>
              <w:rPr>
                <w:spacing w:val="-2"/>
                <w:sz w:val="16"/>
              </w:rPr>
              <w:t>bezpečnostní pokyny</w:t>
            </w:r>
          </w:hyperlink>
          <w:r>
            <w:rPr>
              <w:sz w:val="16"/>
            </w:rPr>
            <w:tab/>
          </w:r>
          <w:hyperlink w:anchor="_bookmark1" w:history="1">
            <w:r>
              <w:rPr>
                <w:spacing w:val="-10"/>
                <w:sz w:val="16"/>
              </w:rPr>
              <w:t>2</w:t>
            </w:r>
          </w:hyperlink>
        </w:p>
        <w:p>
          <w:pPr>
            <w:pStyle w:val="TOC1"/>
            <w:numPr>
              <w:ilvl w:val="0"/>
              <w:numId w:val="44"/>
            </w:numPr>
            <w:tabs>
              <w:tab w:val="left" w:pos="429"/>
              <w:tab w:val="right" w:leader="dot" w:pos="7244"/>
            </w:tabs>
            <w:spacing w:before="96" w:after="0" w:line="240" w:lineRule="auto"/>
            <w:ind w:left="429" w:right="0" w:hanging="134"/>
            <w:jc w:val="left"/>
          </w:pPr>
          <w:hyperlink w:anchor="_bookmark2" w:history="1">
            <w:r>
              <w:rPr>
                <w:spacing w:val="-2"/>
                <w:sz w:val="16"/>
              </w:rPr>
              <w:t>Přehled</w:t>
            </w:r>
          </w:hyperlink>
          <w:r>
            <w:rPr>
              <w:sz w:val="16"/>
            </w:rPr>
            <w:tab/>
          </w:r>
          <w:hyperlink w:anchor="_bookmark2" w:history="1">
            <w:r>
              <w:rPr>
                <w:spacing w:val="-10"/>
                <w:sz w:val="16"/>
              </w:rPr>
              <w:t>6</w:t>
            </w:r>
          </w:hyperlink>
        </w:p>
        <w:p>
          <w:pPr>
            <w:pStyle w:val="TOC2"/>
            <w:numPr>
              <w:ilvl w:val="1"/>
              <w:numId w:val="44"/>
            </w:numPr>
            <w:tabs>
              <w:tab w:val="left" w:pos="773"/>
              <w:tab w:val="right" w:leader="dot" w:pos="7244"/>
            </w:tabs>
            <w:spacing w:before="95" w:after="0" w:line="240" w:lineRule="auto"/>
            <w:ind w:left="773" w:right="0" w:hanging="270"/>
            <w:jc w:val="left"/>
          </w:pPr>
          <w:hyperlink w:anchor="_bookmark3" w:history="1">
            <w:r>
              <w:rPr>
                <w:spacing w:val="-2"/>
                <w:sz w:val="16"/>
              </w:rPr>
              <w:t>Funkce</w:t>
            </w:r>
          </w:hyperlink>
          <w:r>
            <w:rPr>
              <w:sz w:val="16"/>
            </w:rPr>
            <w:tab/>
          </w:r>
          <w:hyperlink w:anchor="_bookmark3" w:history="1">
            <w:r>
              <w:rPr>
                <w:spacing w:val="-10"/>
                <w:sz w:val="16"/>
              </w:rPr>
              <w:t>6</w:t>
            </w:r>
          </w:hyperlink>
        </w:p>
        <w:p>
          <w:pPr>
            <w:pStyle w:val="TOC2"/>
            <w:numPr>
              <w:ilvl w:val="1"/>
              <w:numId w:val="44"/>
            </w:numPr>
            <w:tabs>
              <w:tab w:val="left" w:pos="773"/>
              <w:tab w:val="right" w:leader="dot" w:pos="7244"/>
            </w:tabs>
            <w:spacing w:before="96" w:after="0" w:line="240" w:lineRule="auto"/>
            <w:ind w:left="773" w:right="0" w:hanging="270"/>
            <w:jc w:val="left"/>
          </w:pPr>
          <w:hyperlink w:anchor="_bookmark4" w:history="1">
            <w:r>
              <w:rPr>
                <w:sz w:val="16"/>
              </w:rPr>
              <w:t xml:space="preserve">Hlavní </w:t>
            </w:r>
            <w:r>
              <w:rPr>
                <w:sz w:val="16"/>
              </w:rPr>
              <w:t xml:space="preserve">účel </w:t>
            </w:r>
            <w:r>
              <w:rPr>
                <w:sz w:val="16"/>
              </w:rPr>
              <w:t xml:space="preserve">a </w:t>
            </w:r>
            <w:r>
              <w:rPr>
                <w:sz w:val="16"/>
              </w:rPr>
              <w:t xml:space="preserve">rozsah </w:t>
            </w:r>
            <w:r>
              <w:rPr>
                <w:spacing w:val="-2"/>
                <w:sz w:val="16"/>
              </w:rPr>
              <w:t>použití</w:t>
            </w:r>
          </w:hyperlink>
          <w:r>
            <w:rPr>
              <w:sz w:val="16"/>
            </w:rPr>
            <w:tab/>
          </w:r>
          <w:hyperlink w:anchor="_bookmark4" w:history="1">
            <w:r>
              <w:rPr>
                <w:spacing w:val="-10"/>
                <w:sz w:val="16"/>
              </w:rPr>
              <w:t>6</w:t>
            </w:r>
          </w:hyperlink>
        </w:p>
        <w:p>
          <w:pPr>
            <w:pStyle w:val="TOC2"/>
            <w:numPr>
              <w:ilvl w:val="1"/>
              <w:numId w:val="44"/>
            </w:numPr>
            <w:tabs>
              <w:tab w:val="left" w:pos="768"/>
              <w:tab w:val="right" w:leader="dot" w:pos="7244"/>
            </w:tabs>
            <w:spacing w:before="93" w:after="0" w:line="240" w:lineRule="auto"/>
            <w:ind w:left="768" w:right="0" w:hanging="265"/>
            <w:jc w:val="left"/>
          </w:pPr>
          <w:hyperlink w:anchor="_bookmark5" w:history="1">
            <w:r>
              <w:rPr>
                <w:sz w:val="16"/>
              </w:rPr>
              <w:t xml:space="preserve">Typy </w:t>
            </w:r>
            <w:r>
              <w:rPr>
                <w:sz w:val="16"/>
              </w:rPr>
              <w:t xml:space="preserve">a </w:t>
            </w:r>
            <w:r>
              <w:rPr>
                <w:spacing w:val="-2"/>
                <w:sz w:val="16"/>
              </w:rPr>
              <w:t>specifikace</w:t>
            </w:r>
          </w:hyperlink>
          <w:r>
            <w:rPr>
              <w:sz w:val="16"/>
            </w:rPr>
            <w:tab/>
          </w:r>
          <w:hyperlink w:anchor="_bookmark5" w:history="1">
            <w:r>
              <w:rPr>
                <w:spacing w:val="-10"/>
                <w:sz w:val="16"/>
              </w:rPr>
              <w:t>6</w:t>
            </w:r>
          </w:hyperlink>
        </w:p>
        <w:p>
          <w:pPr>
            <w:pStyle w:val="TOC2"/>
            <w:numPr>
              <w:ilvl w:val="1"/>
              <w:numId w:val="44"/>
            </w:numPr>
            <w:tabs>
              <w:tab w:val="left" w:pos="773"/>
              <w:tab w:val="right" w:leader="dot" w:pos="7244"/>
            </w:tabs>
            <w:spacing w:before="95" w:after="0" w:line="240" w:lineRule="auto"/>
            <w:ind w:left="773" w:right="0" w:hanging="270"/>
            <w:jc w:val="left"/>
          </w:pPr>
          <w:hyperlink w:anchor="_bookmark6" w:history="1">
            <w:r>
              <w:rPr>
                <w:sz w:val="16"/>
              </w:rPr>
              <w:t xml:space="preserve">Složení </w:t>
            </w:r>
            <w:r>
              <w:rPr>
                <w:sz w:val="16"/>
              </w:rPr>
              <w:t xml:space="preserve">a </w:t>
            </w:r>
            <w:r>
              <w:rPr>
                <w:sz w:val="16"/>
              </w:rPr>
              <w:t xml:space="preserve">definice </w:t>
            </w:r>
            <w:r>
              <w:rPr>
                <w:spacing w:val="-4"/>
                <w:sz w:val="16"/>
              </w:rPr>
              <w:t>modelu</w:t>
            </w:r>
          </w:hyperlink>
          <w:r>
            <w:rPr>
              <w:sz w:val="16"/>
            </w:rPr>
            <w:tab/>
          </w:r>
          <w:hyperlink w:anchor="_bookmark6" w:history="1">
            <w:r>
              <w:rPr>
                <w:spacing w:val="-10"/>
                <w:sz w:val="16"/>
              </w:rPr>
              <w:t>6</w:t>
            </w:r>
          </w:hyperlink>
        </w:p>
        <w:p>
          <w:pPr>
            <w:pStyle w:val="TOC2"/>
            <w:numPr>
              <w:ilvl w:val="1"/>
              <w:numId w:val="44"/>
            </w:numPr>
            <w:tabs>
              <w:tab w:val="left" w:pos="773"/>
              <w:tab w:val="right" w:leader="dot" w:pos="7244"/>
            </w:tabs>
            <w:spacing w:before="96" w:after="0" w:line="240" w:lineRule="auto"/>
            <w:ind w:left="773" w:right="0" w:hanging="270"/>
            <w:jc w:val="left"/>
          </w:pPr>
          <w:hyperlink w:anchor="_bookmark7" w:history="1">
            <w:r>
              <w:rPr>
                <w:spacing w:val="-5"/>
                <w:sz w:val="16"/>
              </w:rPr>
              <w:t>Pro</w:t>
            </w:r>
            <w:r>
              <w:rPr>
                <w:sz w:val="16"/>
              </w:rPr>
              <w:t xml:space="preserve">vozní </w:t>
            </w:r>
            <w:r>
              <w:rPr>
                <w:sz w:val="16"/>
              </w:rPr>
              <w:t>podmínky</w:t>
            </w:r>
          </w:hyperlink>
          <w:r>
            <w:rPr>
              <w:sz w:val="16"/>
            </w:rPr>
            <w:tab/>
          </w:r>
          <w:hyperlink w:anchor="_bookmark7" w:history="1">
            <w:r>
              <w:rPr>
                <w:spacing w:val="-10"/>
                <w:sz w:val="16"/>
              </w:rPr>
              <w:t>7</w:t>
            </w:r>
          </w:hyperlink>
        </w:p>
        <w:p>
          <w:pPr>
            <w:pStyle w:val="TOC2"/>
            <w:numPr>
              <w:ilvl w:val="1"/>
              <w:numId w:val="44"/>
            </w:numPr>
            <w:tabs>
              <w:tab w:val="left" w:pos="773"/>
              <w:tab w:val="right" w:leader="dot" w:pos="7244"/>
            </w:tabs>
            <w:spacing w:before="95" w:after="0" w:line="240" w:lineRule="auto"/>
            <w:ind w:left="773" w:right="0" w:hanging="270"/>
            <w:jc w:val="left"/>
          </w:pPr>
          <w:hyperlink w:anchor="_bookmark8" w:history="1">
            <w:r>
              <w:rPr>
                <w:sz w:val="16"/>
              </w:rPr>
              <w:t xml:space="preserve">Určení </w:t>
            </w:r>
            <w:r>
              <w:rPr>
                <w:spacing w:val="-2"/>
                <w:sz w:val="16"/>
              </w:rPr>
              <w:t>provozovatelé</w:t>
            </w:r>
          </w:hyperlink>
          <w:r>
            <w:rPr>
              <w:sz w:val="16"/>
            </w:rPr>
            <w:tab/>
          </w:r>
          <w:hyperlink w:anchor="_bookmark8" w:history="1">
            <w:r>
              <w:rPr>
                <w:spacing w:val="-10"/>
                <w:sz w:val="16"/>
              </w:rPr>
              <w:t>7</w:t>
            </w:r>
          </w:hyperlink>
        </w:p>
        <w:p>
          <w:pPr>
            <w:pStyle w:val="TOC2"/>
            <w:numPr>
              <w:ilvl w:val="1"/>
              <w:numId w:val="44"/>
            </w:numPr>
            <w:tabs>
              <w:tab w:val="left" w:pos="773"/>
              <w:tab w:val="right" w:leader="dot" w:pos="7244"/>
            </w:tabs>
            <w:spacing w:before="95" w:after="0" w:line="240" w:lineRule="auto"/>
            <w:ind w:left="773" w:right="0" w:hanging="270"/>
            <w:jc w:val="left"/>
          </w:pPr>
          <w:hyperlink w:anchor="_bookmark9" w:history="1">
            <w:r>
              <w:rPr>
                <w:sz w:val="16"/>
              </w:rPr>
              <w:t xml:space="preserve">Dopad na </w:t>
            </w:r>
            <w:r>
              <w:rPr>
                <w:sz w:val="16"/>
              </w:rPr>
              <w:t xml:space="preserve">životní </w:t>
            </w:r>
            <w:r>
              <w:rPr>
                <w:sz w:val="16"/>
              </w:rPr>
              <w:t xml:space="preserve">prostředí </w:t>
            </w:r>
            <w:r>
              <w:rPr>
                <w:sz w:val="16"/>
              </w:rPr>
              <w:t xml:space="preserve">a </w:t>
            </w:r>
            <w:r>
              <w:rPr>
                <w:spacing w:val="-2"/>
                <w:sz w:val="16"/>
              </w:rPr>
              <w:t>energii</w:t>
            </w:r>
          </w:hyperlink>
          <w:r>
            <w:rPr>
              <w:sz w:val="16"/>
            </w:rPr>
            <w:tab/>
          </w:r>
          <w:hyperlink w:anchor="_bookmark9" w:history="1">
            <w:r>
              <w:rPr>
                <w:spacing w:val="-10"/>
                <w:sz w:val="16"/>
              </w:rPr>
              <w:t>7</w:t>
            </w:r>
          </w:hyperlink>
        </w:p>
        <w:p>
          <w:pPr>
            <w:pStyle w:val="TOC2"/>
            <w:numPr>
              <w:ilvl w:val="1"/>
              <w:numId w:val="44"/>
            </w:numPr>
            <w:tabs>
              <w:tab w:val="left" w:pos="773"/>
              <w:tab w:val="right" w:leader="dot" w:pos="7244"/>
            </w:tabs>
            <w:spacing w:before="96" w:after="0" w:line="240" w:lineRule="auto"/>
            <w:ind w:left="773" w:right="0" w:hanging="270"/>
            <w:jc w:val="left"/>
          </w:pPr>
          <w:hyperlink w:anchor="_bookmark10" w:history="1">
            <w:r>
              <w:rPr>
                <w:sz w:val="16"/>
              </w:rPr>
              <w:t xml:space="preserve">Datum </w:t>
            </w:r>
            <w:r>
              <w:rPr>
                <w:sz w:val="16"/>
              </w:rPr>
              <w:t xml:space="preserve">výroby </w:t>
            </w:r>
            <w:r>
              <w:rPr>
                <w:sz w:val="16"/>
              </w:rPr>
              <w:t xml:space="preserve">a </w:t>
            </w:r>
            <w:r>
              <w:rPr>
                <w:spacing w:val="-4"/>
                <w:sz w:val="16"/>
              </w:rPr>
              <w:t>životnost</w:t>
            </w:r>
          </w:hyperlink>
          <w:r>
            <w:rPr>
              <w:sz w:val="16"/>
            </w:rPr>
            <w:tab/>
          </w:r>
          <w:hyperlink w:anchor="_bookmark10" w:history="1">
            <w:r>
              <w:rPr>
                <w:spacing w:val="-10"/>
                <w:sz w:val="16"/>
              </w:rPr>
              <w:t>7</w:t>
            </w:r>
          </w:hyperlink>
        </w:p>
        <w:p>
          <w:pPr>
            <w:pStyle w:val="TOC2"/>
            <w:numPr>
              <w:ilvl w:val="1"/>
              <w:numId w:val="44"/>
            </w:numPr>
            <w:tabs>
              <w:tab w:val="left" w:pos="773"/>
              <w:tab w:val="right" w:leader="dot" w:pos="7244"/>
            </w:tabs>
            <w:spacing w:before="93" w:after="0" w:line="240" w:lineRule="auto"/>
            <w:ind w:left="773" w:right="0" w:hanging="270"/>
            <w:jc w:val="left"/>
          </w:pPr>
          <w:hyperlink w:anchor="_bookmark11" w:history="1">
            <w:r>
              <w:rPr>
                <w:spacing w:val="-2"/>
                <w:sz w:val="16"/>
              </w:rPr>
              <w:t xml:space="preserve">Verze </w:t>
            </w:r>
            <w:r>
              <w:rPr>
                <w:sz w:val="16"/>
              </w:rPr>
              <w:t>softwaru</w:t>
            </w:r>
          </w:hyperlink>
          <w:r>
            <w:rPr>
              <w:sz w:val="16"/>
            </w:rPr>
            <w:tab/>
          </w:r>
          <w:hyperlink w:anchor="_bookmark11" w:history="1">
            <w:r>
              <w:rPr>
                <w:spacing w:val="-10"/>
                <w:sz w:val="16"/>
              </w:rPr>
              <w:t>7</w:t>
            </w:r>
          </w:hyperlink>
        </w:p>
        <w:p>
          <w:pPr>
            <w:pStyle w:val="TOC1"/>
            <w:numPr>
              <w:ilvl w:val="0"/>
              <w:numId w:val="44"/>
            </w:numPr>
            <w:tabs>
              <w:tab w:val="left" w:pos="429"/>
              <w:tab w:val="right" w:leader="dot" w:pos="7244"/>
            </w:tabs>
            <w:spacing w:before="95" w:after="0" w:line="240" w:lineRule="auto"/>
            <w:ind w:left="429" w:right="0" w:hanging="134"/>
            <w:jc w:val="left"/>
          </w:pPr>
          <w:hyperlink w:anchor="_bookmark12" w:history="1">
            <w:r>
              <w:rPr>
                <w:spacing w:val="-2"/>
                <w:sz w:val="16"/>
              </w:rPr>
              <w:t>Součásti</w:t>
            </w:r>
          </w:hyperlink>
          <w:r>
            <w:rPr>
              <w:sz w:val="16"/>
            </w:rPr>
            <w:tab/>
          </w:r>
          <w:hyperlink w:anchor="_bookmark12" w:history="1">
            <w:r>
              <w:rPr>
                <w:spacing w:val="-10"/>
                <w:sz w:val="16"/>
              </w:rPr>
              <w:t>7</w:t>
            </w:r>
          </w:hyperlink>
        </w:p>
        <w:p>
          <w:pPr>
            <w:pStyle w:val="TOC2"/>
            <w:numPr>
              <w:ilvl w:val="1"/>
              <w:numId w:val="44"/>
            </w:numPr>
            <w:tabs>
              <w:tab w:val="left" w:pos="773"/>
              <w:tab w:val="right" w:leader="dot" w:pos="7244"/>
            </w:tabs>
            <w:spacing w:before="96" w:after="0" w:line="240" w:lineRule="auto"/>
            <w:ind w:left="773" w:right="0" w:hanging="270"/>
            <w:jc w:val="left"/>
          </w:pPr>
          <w:hyperlink w:anchor="_bookmark13" w:history="1">
            <w:r>
              <w:rPr>
                <w:spacing w:val="-2"/>
                <w:sz w:val="16"/>
              </w:rPr>
              <w:t xml:space="preserve">Princip </w:t>
            </w:r>
            <w:r>
              <w:rPr>
                <w:sz w:val="16"/>
              </w:rPr>
              <w:t>fungování</w:t>
            </w:r>
          </w:hyperlink>
          <w:r>
            <w:rPr>
              <w:sz w:val="16"/>
            </w:rPr>
            <w:tab/>
          </w:r>
          <w:hyperlink w:anchor="_bookmark13" w:history="1">
            <w:r>
              <w:rPr>
                <w:spacing w:val="-10"/>
                <w:sz w:val="16"/>
              </w:rPr>
              <w:t>7</w:t>
            </w:r>
          </w:hyperlink>
        </w:p>
        <w:p>
          <w:pPr>
            <w:pStyle w:val="TOC2"/>
            <w:numPr>
              <w:ilvl w:val="1"/>
              <w:numId w:val="44"/>
            </w:numPr>
            <w:tabs>
              <w:tab w:val="left" w:pos="773"/>
              <w:tab w:val="right" w:leader="dot" w:pos="7244"/>
            </w:tabs>
            <w:spacing w:before="95" w:after="0" w:line="240" w:lineRule="auto"/>
            <w:ind w:left="773" w:right="0" w:hanging="270"/>
            <w:jc w:val="left"/>
          </w:pPr>
          <w:hyperlink w:anchor="_bookmark14" w:history="1">
            <w:r>
              <w:rPr>
                <w:spacing w:val="-2"/>
                <w:sz w:val="16"/>
              </w:rPr>
              <w:t>Součásti</w:t>
            </w:r>
          </w:hyperlink>
          <w:r>
            <w:rPr>
              <w:sz w:val="16"/>
            </w:rPr>
            <w:tab/>
          </w:r>
          <w:hyperlink w:anchor="_bookmark14" w:history="1">
            <w:r>
              <w:rPr>
                <w:spacing w:val="-10"/>
                <w:sz w:val="16"/>
              </w:rPr>
              <w:t>7</w:t>
            </w:r>
          </w:hyperlink>
        </w:p>
        <w:p>
          <w:pPr>
            <w:pStyle w:val="TOC1"/>
            <w:numPr>
              <w:ilvl w:val="0"/>
              <w:numId w:val="44"/>
            </w:numPr>
            <w:tabs>
              <w:tab w:val="left" w:pos="429"/>
              <w:tab w:val="right" w:leader="dot" w:pos="7244"/>
            </w:tabs>
            <w:spacing w:before="96" w:after="0" w:line="240" w:lineRule="auto"/>
            <w:ind w:left="429" w:right="0" w:hanging="134"/>
            <w:jc w:val="left"/>
          </w:pPr>
          <w:hyperlink w:anchor="_bookmark15" w:history="1">
            <w:r>
              <w:rPr>
                <w:sz w:val="16"/>
              </w:rPr>
              <w:t xml:space="preserve">Technické </w:t>
            </w:r>
            <w:r>
              <w:rPr>
                <w:sz w:val="16"/>
              </w:rPr>
              <w:t xml:space="preserve">charakteristiky, </w:t>
            </w:r>
            <w:r>
              <w:rPr>
                <w:sz w:val="16"/>
              </w:rPr>
              <w:t xml:space="preserve">parametry </w:t>
            </w:r>
            <w:r>
              <w:rPr>
                <w:sz w:val="16"/>
              </w:rPr>
              <w:t xml:space="preserve">a </w:t>
            </w:r>
            <w:r>
              <w:rPr>
                <w:spacing w:val="-2"/>
                <w:sz w:val="16"/>
              </w:rPr>
              <w:t>slovníček</w:t>
            </w:r>
          </w:hyperlink>
          <w:r>
            <w:rPr>
              <w:sz w:val="16"/>
            </w:rPr>
            <w:tab/>
          </w:r>
          <w:hyperlink w:anchor="_bookmark15" w:history="1">
            <w:r>
              <w:rPr>
                <w:spacing w:val="-10"/>
                <w:sz w:val="16"/>
              </w:rPr>
              <w:t>8</w:t>
            </w:r>
          </w:hyperlink>
        </w:p>
        <w:p>
          <w:pPr>
            <w:pStyle w:val="TOC1"/>
            <w:numPr>
              <w:ilvl w:val="0"/>
              <w:numId w:val="44"/>
            </w:numPr>
            <w:tabs>
              <w:tab w:val="left" w:pos="429"/>
              <w:tab w:val="right" w:leader="dot" w:pos="7246"/>
            </w:tabs>
            <w:spacing w:before="95" w:after="0" w:line="240" w:lineRule="auto"/>
            <w:ind w:left="429" w:right="0" w:hanging="134"/>
            <w:jc w:val="left"/>
          </w:pPr>
          <w:hyperlink w:anchor="_bookmark16" w:history="1">
            <w:r>
              <w:rPr>
                <w:sz w:val="16"/>
              </w:rPr>
              <w:t xml:space="preserve">Instalace </w:t>
            </w:r>
            <w:r>
              <w:rPr>
                <w:sz w:val="16"/>
              </w:rPr>
              <w:t xml:space="preserve">a </w:t>
            </w:r>
            <w:r>
              <w:rPr>
                <w:spacing w:val="-2"/>
                <w:sz w:val="16"/>
              </w:rPr>
              <w:t>seřízení</w:t>
            </w:r>
          </w:hyperlink>
          <w:r>
            <w:rPr>
              <w:sz w:val="16"/>
            </w:rPr>
            <w:tab/>
          </w:r>
          <w:hyperlink w:anchor="_bookmark16" w:history="1">
            <w:r>
              <w:rPr>
                <w:spacing w:val="-5"/>
                <w:sz w:val="16"/>
              </w:rPr>
              <w:t>10</w:t>
            </w:r>
          </w:hyperlink>
        </w:p>
        <w:p>
          <w:pPr>
            <w:pStyle w:val="TOC2"/>
            <w:numPr>
              <w:ilvl w:val="1"/>
              <w:numId w:val="44"/>
            </w:numPr>
            <w:tabs>
              <w:tab w:val="left" w:pos="773"/>
              <w:tab w:val="right" w:leader="dot" w:pos="7246"/>
            </w:tabs>
            <w:spacing w:before="93" w:after="0" w:line="240" w:lineRule="auto"/>
            <w:ind w:left="773" w:right="0" w:hanging="270"/>
            <w:jc w:val="left"/>
          </w:pPr>
          <w:hyperlink w:anchor="_bookmark17" w:history="1">
            <w:r>
              <w:rPr>
                <w:sz w:val="16"/>
              </w:rPr>
              <w:t xml:space="preserve">Základna </w:t>
            </w:r>
            <w:r>
              <w:rPr>
                <w:sz w:val="16"/>
              </w:rPr>
              <w:t>zařízení</w:t>
            </w:r>
            <w:r>
              <w:rPr>
                <w:sz w:val="16"/>
              </w:rPr>
              <w:t xml:space="preserve">, </w:t>
            </w:r>
            <w:r>
              <w:rPr>
                <w:sz w:val="16"/>
              </w:rPr>
              <w:t xml:space="preserve">podmínky </w:t>
            </w:r>
            <w:r>
              <w:rPr>
                <w:sz w:val="16"/>
              </w:rPr>
              <w:t xml:space="preserve">instalace </w:t>
            </w:r>
            <w:r>
              <w:rPr>
                <w:sz w:val="16"/>
              </w:rPr>
              <w:t xml:space="preserve">a </w:t>
            </w:r>
            <w:r>
              <w:rPr>
                <w:sz w:val="16"/>
              </w:rPr>
              <w:t xml:space="preserve">technické </w:t>
            </w:r>
            <w:r>
              <w:rPr>
                <w:sz w:val="16"/>
              </w:rPr>
              <w:t xml:space="preserve">požadavky </w:t>
            </w:r>
            <w:r>
              <w:rPr>
                <w:sz w:val="16"/>
              </w:rPr>
              <w:t xml:space="preserve">na </w:t>
            </w:r>
            <w:r>
              <w:rPr>
                <w:spacing w:val="-2"/>
                <w:sz w:val="16"/>
              </w:rPr>
              <w:t>instalaci</w:t>
            </w:r>
          </w:hyperlink>
          <w:r>
            <w:rPr>
              <w:sz w:val="16"/>
            </w:rPr>
            <w:tab/>
          </w:r>
          <w:hyperlink w:anchor="_bookmark17" w:history="1">
            <w:r>
              <w:rPr>
                <w:spacing w:val="-5"/>
                <w:sz w:val="16"/>
              </w:rPr>
              <w:t>10</w:t>
            </w:r>
          </w:hyperlink>
        </w:p>
        <w:p>
          <w:pPr>
            <w:pStyle w:val="TOC2"/>
            <w:numPr>
              <w:ilvl w:val="1"/>
              <w:numId w:val="44"/>
            </w:numPr>
            <w:tabs>
              <w:tab w:val="left" w:pos="773"/>
              <w:tab w:val="right" w:leader="dot" w:pos="7248"/>
            </w:tabs>
            <w:spacing w:before="95" w:after="0" w:line="240" w:lineRule="auto"/>
            <w:ind w:left="773" w:right="0" w:hanging="270"/>
            <w:jc w:val="left"/>
          </w:pPr>
          <w:hyperlink w:anchor="_bookmark18" w:history="1">
            <w:r>
              <w:rPr>
                <w:sz w:val="16"/>
              </w:rPr>
              <w:t>Instal</w:t>
            </w:r>
            <w:r>
              <w:rPr>
                <w:sz w:val="16"/>
              </w:rPr>
              <w:t xml:space="preserve">ace </w:t>
            </w:r>
            <w:r>
              <w:rPr>
                <w:sz w:val="16"/>
              </w:rPr>
              <w:t xml:space="preserve">a </w:t>
            </w:r>
            <w:r>
              <w:rPr>
                <w:sz w:val="16"/>
              </w:rPr>
              <w:t xml:space="preserve">demontáž </w:t>
            </w:r>
            <w:r>
              <w:rPr>
                <w:sz w:val="16"/>
              </w:rPr>
              <w:t xml:space="preserve">upevňovací </w:t>
            </w:r>
            <w:r>
              <w:rPr>
                <w:spacing w:val="-4"/>
                <w:sz w:val="16"/>
              </w:rPr>
              <w:t>svorky</w:t>
            </w:r>
          </w:hyperlink>
          <w:r>
            <w:rPr>
              <w:sz w:val="16"/>
            </w:rPr>
            <w:tab/>
          </w:r>
          <w:hyperlink w:anchor="_bookmark18" w:history="1">
            <w:r>
              <w:rPr>
                <w:spacing w:val="-5"/>
                <w:sz w:val="16"/>
              </w:rPr>
              <w:t>11</w:t>
            </w:r>
          </w:hyperlink>
        </w:p>
        <w:p>
          <w:pPr>
            <w:pStyle w:val="TOC2"/>
            <w:numPr>
              <w:ilvl w:val="1"/>
              <w:numId w:val="44"/>
            </w:numPr>
            <w:tabs>
              <w:tab w:val="left" w:pos="773"/>
              <w:tab w:val="right" w:leader="dot" w:pos="7248"/>
            </w:tabs>
            <w:spacing w:before="96" w:after="0" w:line="240" w:lineRule="auto"/>
            <w:ind w:left="773" w:right="0" w:hanging="270"/>
            <w:jc w:val="left"/>
          </w:pPr>
          <w:hyperlink w:anchor="_bookmark19" w:history="1">
            <w:r>
              <w:rPr>
                <w:sz w:val="16"/>
              </w:rPr>
              <w:t xml:space="preserve">Instalační </w:t>
            </w:r>
            <w:r>
              <w:rPr>
                <w:sz w:val="16"/>
              </w:rPr>
              <w:t xml:space="preserve">metody </w:t>
            </w:r>
            <w:r>
              <w:rPr>
                <w:sz w:val="16"/>
              </w:rPr>
              <w:t xml:space="preserve">a </w:t>
            </w:r>
            <w:r>
              <w:rPr>
                <w:spacing w:val="-2"/>
                <w:sz w:val="16"/>
              </w:rPr>
              <w:t>bezpečnostní opatření</w:t>
            </w:r>
          </w:hyperlink>
          <w:r>
            <w:rPr>
              <w:sz w:val="16"/>
            </w:rPr>
            <w:tab/>
          </w:r>
          <w:hyperlink w:anchor="_bookmark19" w:history="1">
            <w:r>
              <w:rPr>
                <w:spacing w:val="-5"/>
                <w:sz w:val="16"/>
              </w:rPr>
              <w:t>11</w:t>
            </w:r>
          </w:hyperlink>
        </w:p>
        <w:p>
          <w:pPr>
            <w:pStyle w:val="TOC1"/>
            <w:numPr>
              <w:ilvl w:val="0"/>
              <w:numId w:val="44"/>
            </w:numPr>
            <w:tabs>
              <w:tab w:val="left" w:pos="429"/>
              <w:tab w:val="right" w:leader="dot" w:pos="7246"/>
            </w:tabs>
            <w:spacing w:before="95" w:after="0" w:line="240" w:lineRule="auto"/>
            <w:ind w:left="429" w:right="0" w:hanging="134"/>
            <w:jc w:val="left"/>
          </w:pPr>
          <w:hyperlink w:anchor="_bookmark20" w:history="1">
            <w:r>
              <w:rPr>
                <w:spacing w:val="-2"/>
                <w:sz w:val="16"/>
              </w:rPr>
              <w:t xml:space="preserve">Popis </w:t>
            </w:r>
            <w:r>
              <w:rPr>
                <w:sz w:val="16"/>
              </w:rPr>
              <w:t>vzhledu</w:t>
            </w:r>
          </w:hyperlink>
          <w:r>
            <w:rPr>
              <w:sz w:val="16"/>
            </w:rPr>
            <w:tab/>
          </w:r>
          <w:hyperlink w:anchor="_bookmark20" w:history="1">
            <w:r>
              <w:rPr>
                <w:spacing w:val="-5"/>
                <w:sz w:val="16"/>
              </w:rPr>
              <w:t>12</w:t>
            </w:r>
          </w:hyperlink>
        </w:p>
        <w:p>
          <w:pPr>
            <w:pStyle w:val="TOC2"/>
            <w:numPr>
              <w:ilvl w:val="1"/>
              <w:numId w:val="44"/>
            </w:numPr>
            <w:tabs>
              <w:tab w:val="left" w:pos="773"/>
              <w:tab w:val="right" w:leader="dot" w:pos="7246"/>
            </w:tabs>
            <w:spacing w:before="96" w:after="0" w:line="240" w:lineRule="auto"/>
            <w:ind w:left="773" w:right="0" w:hanging="270"/>
            <w:jc w:val="left"/>
          </w:pPr>
          <w:hyperlink w:anchor="_bookmark21" w:history="1">
            <w:r>
              <w:rPr>
                <w:spacing w:val="-4"/>
                <w:sz w:val="16"/>
              </w:rPr>
              <w:t xml:space="preserve">Pohled </w:t>
            </w:r>
            <w:r>
              <w:rPr>
                <w:sz w:val="16"/>
              </w:rPr>
              <w:t>zepředu</w:t>
            </w:r>
          </w:hyperlink>
          <w:r>
            <w:rPr>
              <w:sz w:val="16"/>
            </w:rPr>
            <w:tab/>
          </w:r>
          <w:hyperlink w:anchor="_bookmark21" w:history="1">
            <w:r>
              <w:rPr>
                <w:spacing w:val="-5"/>
                <w:sz w:val="16"/>
              </w:rPr>
              <w:t>12</w:t>
            </w:r>
          </w:hyperlink>
        </w:p>
        <w:p>
          <w:pPr>
            <w:pStyle w:val="TOC2"/>
            <w:numPr>
              <w:ilvl w:val="1"/>
              <w:numId w:val="44"/>
            </w:numPr>
            <w:tabs>
              <w:tab w:val="left" w:pos="773"/>
              <w:tab w:val="right" w:leader="dot" w:pos="7246"/>
            </w:tabs>
            <w:spacing w:before="95" w:after="0" w:line="240" w:lineRule="auto"/>
            <w:ind w:left="773" w:right="0" w:hanging="270"/>
            <w:jc w:val="left"/>
          </w:pPr>
          <w:hyperlink w:anchor="_bookmark22" w:history="1">
            <w:r>
              <w:rPr>
                <w:sz w:val="16"/>
              </w:rPr>
              <w:t xml:space="preserve">Ovládací </w:t>
            </w:r>
            <w:r>
              <w:rPr>
                <w:spacing w:val="-2"/>
                <w:sz w:val="16"/>
              </w:rPr>
              <w:t>panel</w:t>
            </w:r>
          </w:hyperlink>
          <w:r>
            <w:rPr>
              <w:sz w:val="16"/>
            </w:rPr>
            <w:tab/>
          </w:r>
          <w:hyperlink w:anchor="_bookmark22" w:history="1">
            <w:r>
              <w:rPr>
                <w:spacing w:val="-5"/>
                <w:sz w:val="16"/>
              </w:rPr>
              <w:t>13</w:t>
            </w:r>
          </w:hyperlink>
        </w:p>
        <w:p>
          <w:pPr>
            <w:pStyle w:val="TOC2"/>
            <w:numPr>
              <w:ilvl w:val="1"/>
              <w:numId w:val="44"/>
            </w:numPr>
            <w:tabs>
              <w:tab w:val="left" w:pos="773"/>
              <w:tab w:val="right" w:leader="dot" w:pos="7246"/>
            </w:tabs>
            <w:spacing w:before="93" w:after="0" w:line="240" w:lineRule="auto"/>
            <w:ind w:left="773" w:right="0" w:hanging="270"/>
            <w:jc w:val="left"/>
          </w:pPr>
          <w:hyperlink w:anchor="_bookmark23" w:history="1">
            <w:r>
              <w:rPr>
                <w:spacing w:val="-2"/>
                <w:sz w:val="16"/>
              </w:rPr>
              <w:t xml:space="preserve">Zobrazení </w:t>
            </w:r>
            <w:r>
              <w:rPr>
                <w:sz w:val="16"/>
              </w:rPr>
              <w:t>na obrazovce</w:t>
            </w:r>
          </w:hyperlink>
          <w:r>
            <w:rPr>
              <w:sz w:val="16"/>
            </w:rPr>
            <w:tab/>
          </w:r>
          <w:hyperlink w:anchor="_bookmark23" w:history="1">
            <w:r>
              <w:rPr>
                <w:spacing w:val="-5"/>
                <w:sz w:val="16"/>
              </w:rPr>
              <w:t>14</w:t>
            </w:r>
          </w:hyperlink>
        </w:p>
        <w:p>
          <w:pPr>
            <w:pStyle w:val="TOC2"/>
            <w:numPr>
              <w:ilvl w:val="1"/>
              <w:numId w:val="44"/>
            </w:numPr>
            <w:tabs>
              <w:tab w:val="left" w:pos="773"/>
              <w:tab w:val="right" w:leader="dot" w:pos="7246"/>
            </w:tabs>
            <w:spacing w:before="95" w:after="0" w:line="240" w:lineRule="auto"/>
            <w:ind w:left="773" w:right="0" w:hanging="270"/>
            <w:jc w:val="left"/>
          </w:pPr>
          <w:hyperlink w:anchor="_bookmark24" w:history="1">
            <w:r>
              <w:rPr>
                <w:sz w:val="16"/>
              </w:rPr>
              <w:t xml:space="preserve">Zadní </w:t>
            </w:r>
            <w:r>
              <w:rPr>
                <w:spacing w:val="-4"/>
                <w:sz w:val="16"/>
              </w:rPr>
              <w:t>pohled</w:t>
            </w:r>
          </w:hyperlink>
          <w:r>
            <w:rPr>
              <w:sz w:val="16"/>
            </w:rPr>
            <w:tab/>
          </w:r>
          <w:hyperlink w:anchor="_bookmark24" w:history="1">
            <w:r>
              <w:rPr>
                <w:spacing w:val="-5"/>
                <w:sz w:val="16"/>
              </w:rPr>
              <w:t>15</w:t>
            </w:r>
          </w:hyperlink>
        </w:p>
        <w:p>
          <w:pPr>
            <w:pStyle w:val="TOC2"/>
            <w:numPr>
              <w:ilvl w:val="1"/>
              <w:numId w:val="44"/>
            </w:numPr>
            <w:tabs>
              <w:tab w:val="left" w:pos="773"/>
              <w:tab w:val="right" w:leader="dot" w:pos="7246"/>
            </w:tabs>
            <w:spacing w:before="96" w:after="0" w:line="240" w:lineRule="auto"/>
            <w:ind w:left="773" w:right="0" w:hanging="270"/>
            <w:jc w:val="left"/>
          </w:pPr>
          <w:hyperlink w:anchor="_bookmark25" w:history="1">
            <w:r>
              <w:rPr>
                <w:spacing w:val="-2"/>
                <w:sz w:val="16"/>
              </w:rPr>
              <w:t>Štítek</w:t>
            </w:r>
          </w:hyperlink>
          <w:r>
            <w:rPr>
              <w:sz w:val="16"/>
            </w:rPr>
            <w:tab/>
          </w:r>
          <w:hyperlink w:anchor="_bookmark25" w:history="1">
            <w:r>
              <w:rPr>
                <w:spacing w:val="-5"/>
                <w:sz w:val="16"/>
              </w:rPr>
              <w:t>16</w:t>
            </w:r>
          </w:hyperlink>
        </w:p>
        <w:p>
          <w:pPr>
            <w:pStyle w:val="TOC1"/>
            <w:numPr>
              <w:ilvl w:val="0"/>
              <w:numId w:val="44"/>
            </w:numPr>
            <w:tabs>
              <w:tab w:val="left" w:pos="429"/>
              <w:tab w:val="right" w:leader="dot" w:pos="7246"/>
            </w:tabs>
            <w:spacing w:before="95" w:after="0" w:line="240" w:lineRule="auto"/>
            <w:ind w:left="429" w:right="0" w:hanging="134"/>
            <w:jc w:val="left"/>
          </w:pPr>
          <w:hyperlink w:anchor="_bookmark26" w:history="1">
            <w:r>
              <w:rPr>
                <w:sz w:val="16"/>
              </w:rPr>
              <w:t>Příprav</w:t>
            </w:r>
            <w:r>
              <w:rPr>
                <w:spacing w:val="-2"/>
                <w:sz w:val="16"/>
              </w:rPr>
              <w:t xml:space="preserve">y </w:t>
            </w:r>
            <w:r>
              <w:rPr>
                <w:sz w:val="16"/>
              </w:rPr>
              <w:t xml:space="preserve">a </w:t>
            </w:r>
            <w:r>
              <w:rPr>
                <w:sz w:val="16"/>
              </w:rPr>
              <w:t>bezpečnost</w:t>
            </w:r>
            <w:r>
              <w:rPr>
                <w:sz w:val="16"/>
              </w:rPr>
              <w:t>ní</w:t>
            </w:r>
            <w:r>
              <w:rPr>
                <w:sz w:val="16"/>
              </w:rPr>
              <w:t xml:space="preserve"> opatření </w:t>
            </w:r>
            <w:r>
              <w:rPr>
                <w:sz w:val="16"/>
              </w:rPr>
              <w:t xml:space="preserve">před </w:t>
            </w:r>
            <w:r>
              <w:rPr>
                <w:sz w:val="16"/>
              </w:rPr>
              <w:t>použitím</w:t>
            </w:r>
          </w:hyperlink>
          <w:r>
            <w:rPr>
              <w:sz w:val="16"/>
            </w:rPr>
            <w:tab/>
          </w:r>
          <w:hyperlink w:anchor="_bookmark26" w:history="1">
            <w:r>
              <w:rPr>
                <w:spacing w:val="-5"/>
                <w:sz w:val="16"/>
              </w:rPr>
              <w:t>18</w:t>
            </w:r>
          </w:hyperlink>
        </w:p>
        <w:p>
          <w:pPr>
            <w:pStyle w:val="TOC2"/>
            <w:numPr>
              <w:ilvl w:val="1"/>
              <w:numId w:val="44"/>
            </w:numPr>
            <w:tabs>
              <w:tab w:val="left" w:pos="773"/>
              <w:tab w:val="right" w:leader="dot" w:pos="7246"/>
            </w:tabs>
            <w:spacing w:before="96" w:after="0" w:line="240" w:lineRule="auto"/>
            <w:ind w:left="773" w:right="0" w:hanging="270"/>
            <w:jc w:val="left"/>
          </w:pPr>
          <w:hyperlink w:anchor="_bookmark27" w:history="1">
            <w:r>
              <w:rPr>
                <w:sz w:val="16"/>
              </w:rPr>
              <w:t xml:space="preserve">Příprava </w:t>
            </w:r>
            <w:r>
              <w:rPr>
                <w:sz w:val="16"/>
              </w:rPr>
              <w:t xml:space="preserve">a </w:t>
            </w:r>
            <w:r>
              <w:rPr>
                <w:sz w:val="16"/>
              </w:rPr>
              <w:t xml:space="preserve">kontrola </w:t>
            </w:r>
            <w:r>
              <w:rPr>
                <w:sz w:val="16"/>
              </w:rPr>
              <w:t xml:space="preserve">před </w:t>
            </w:r>
            <w:r>
              <w:rPr>
                <w:spacing w:val="-5"/>
                <w:sz w:val="16"/>
              </w:rPr>
              <w:t>použitím</w:t>
            </w:r>
          </w:hyperlink>
          <w:r>
            <w:rPr>
              <w:sz w:val="16"/>
            </w:rPr>
            <w:tab/>
          </w:r>
          <w:hyperlink w:anchor="_bookmark27" w:history="1">
            <w:r>
              <w:rPr>
                <w:spacing w:val="-5"/>
                <w:sz w:val="16"/>
              </w:rPr>
              <w:t>18</w:t>
            </w:r>
          </w:hyperlink>
        </w:p>
        <w:p>
          <w:pPr>
            <w:pStyle w:val="TOC2"/>
            <w:numPr>
              <w:ilvl w:val="1"/>
              <w:numId w:val="44"/>
            </w:numPr>
            <w:tabs>
              <w:tab w:val="left" w:pos="773"/>
              <w:tab w:val="right" w:leader="dot" w:pos="7246"/>
            </w:tabs>
            <w:spacing w:before="95" w:after="0" w:line="240" w:lineRule="auto"/>
            <w:ind w:left="773" w:right="0" w:hanging="270"/>
            <w:jc w:val="left"/>
          </w:pPr>
          <w:hyperlink w:anchor="_bookmark28" w:history="1">
            <w:r>
              <w:rPr>
                <w:spacing w:val="-2"/>
                <w:sz w:val="16"/>
              </w:rPr>
              <w:t xml:space="preserve">Bezpečnostní opatření </w:t>
            </w:r>
            <w:r>
              <w:rPr>
                <w:sz w:val="16"/>
              </w:rPr>
              <w:t>při provozu</w:t>
            </w:r>
          </w:hyperlink>
          <w:r>
            <w:rPr>
              <w:sz w:val="16"/>
            </w:rPr>
            <w:tab/>
          </w:r>
          <w:hyperlink w:anchor="_bookmark28" w:history="1">
            <w:r>
              <w:rPr>
                <w:spacing w:val="-5"/>
                <w:sz w:val="16"/>
              </w:rPr>
              <w:t>18</w:t>
            </w:r>
          </w:hyperlink>
        </w:p>
        <w:p>
          <w:pPr>
            <w:pStyle w:val="TOC1"/>
            <w:numPr>
              <w:ilvl w:val="0"/>
              <w:numId w:val="44"/>
            </w:numPr>
            <w:tabs>
              <w:tab w:val="left" w:pos="429"/>
              <w:tab w:val="right" w:leader="dot" w:pos="7246"/>
            </w:tabs>
            <w:spacing w:before="93" w:after="0" w:line="240" w:lineRule="auto"/>
            <w:ind w:left="429" w:right="0" w:hanging="134"/>
            <w:jc w:val="left"/>
          </w:pPr>
          <w:hyperlink w:anchor="_bookmark29" w:history="1">
            <w:r>
              <w:rPr>
                <w:sz w:val="16"/>
              </w:rPr>
              <w:t xml:space="preserve">Způsob </w:t>
            </w:r>
            <w:r>
              <w:rPr>
                <w:spacing w:val="-5"/>
                <w:sz w:val="16"/>
              </w:rPr>
              <w:t>použití</w:t>
            </w:r>
          </w:hyperlink>
          <w:r>
            <w:rPr>
              <w:sz w:val="16"/>
            </w:rPr>
            <w:tab/>
          </w:r>
          <w:hyperlink w:anchor="_bookmark29" w:history="1">
            <w:r>
              <w:rPr>
                <w:spacing w:val="-5"/>
                <w:sz w:val="16"/>
              </w:rPr>
              <w:t>19</w:t>
            </w:r>
          </w:hyperlink>
        </w:p>
        <w:p>
          <w:pPr>
            <w:pStyle w:val="TOC2"/>
            <w:numPr>
              <w:ilvl w:val="1"/>
              <w:numId w:val="44"/>
            </w:numPr>
            <w:tabs>
              <w:tab w:val="left" w:pos="773"/>
              <w:tab w:val="right" w:leader="dot" w:pos="7246"/>
            </w:tabs>
            <w:spacing w:before="96" w:after="0" w:line="240" w:lineRule="auto"/>
            <w:ind w:left="773" w:right="0" w:hanging="270"/>
            <w:jc w:val="left"/>
          </w:pPr>
          <w:hyperlink w:anchor="_bookmark30" w:history="1">
            <w:r>
              <w:rPr>
                <w:spacing w:val="-2"/>
                <w:sz w:val="16"/>
              </w:rPr>
              <w:t xml:space="preserve">Provoz </w:t>
            </w:r>
            <w:r>
              <w:rPr>
                <w:sz w:val="16"/>
              </w:rPr>
              <w:t>infuze</w:t>
            </w:r>
          </w:hyperlink>
          <w:r>
            <w:rPr>
              <w:sz w:val="16"/>
            </w:rPr>
            <w:tab/>
          </w:r>
          <w:hyperlink w:anchor="_bookmark30" w:history="1">
            <w:r>
              <w:rPr>
                <w:spacing w:val="-5"/>
                <w:sz w:val="16"/>
              </w:rPr>
              <w:t>19</w:t>
            </w:r>
          </w:hyperlink>
        </w:p>
        <w:p>
          <w:pPr>
            <w:pStyle w:val="TOC2"/>
            <w:numPr>
              <w:ilvl w:val="1"/>
              <w:numId w:val="44"/>
            </w:numPr>
            <w:tabs>
              <w:tab w:val="left" w:pos="763"/>
              <w:tab w:val="right" w:leader="dot" w:pos="7246"/>
            </w:tabs>
            <w:spacing w:before="95" w:after="0" w:line="240" w:lineRule="auto"/>
            <w:ind w:left="763" w:right="0" w:hanging="260"/>
            <w:jc w:val="left"/>
          </w:pPr>
          <w:hyperlink w:anchor="_bookmark31" w:history="1">
            <w:r>
              <w:rPr>
                <w:sz w:val="16"/>
              </w:rPr>
              <w:t xml:space="preserve">Alarmové </w:t>
            </w:r>
            <w:r>
              <w:rPr>
                <w:sz w:val="16"/>
              </w:rPr>
              <w:t xml:space="preserve">stavy </w:t>
            </w:r>
            <w:r>
              <w:rPr>
                <w:sz w:val="16"/>
              </w:rPr>
              <w:t xml:space="preserve">a </w:t>
            </w:r>
            <w:r>
              <w:rPr>
                <w:spacing w:val="-2"/>
                <w:sz w:val="16"/>
              </w:rPr>
              <w:t>jejich řešení</w:t>
            </w:r>
          </w:hyperlink>
          <w:r>
            <w:rPr>
              <w:sz w:val="16"/>
            </w:rPr>
            <w:tab/>
          </w:r>
          <w:hyperlink w:anchor="_bookmark31" w:history="1">
            <w:r>
              <w:rPr>
                <w:spacing w:val="-5"/>
                <w:sz w:val="16"/>
              </w:rPr>
              <w:t>26</w:t>
            </w:r>
          </w:hyperlink>
        </w:p>
        <w:p>
          <w:pPr>
            <w:pStyle w:val="TOC2"/>
            <w:numPr>
              <w:ilvl w:val="1"/>
              <w:numId w:val="44"/>
            </w:numPr>
            <w:tabs>
              <w:tab w:val="left" w:pos="773"/>
              <w:tab w:val="right" w:leader="dot" w:pos="7246"/>
            </w:tabs>
            <w:spacing w:before="95" w:after="20" w:line="240" w:lineRule="auto"/>
            <w:ind w:left="773" w:right="0" w:hanging="270"/>
            <w:jc w:val="left"/>
          </w:pPr>
          <w:hyperlink w:anchor="_bookmark32" w:history="1">
            <w:r>
              <w:rPr>
                <w:spacing w:val="-2"/>
                <w:sz w:val="16"/>
              </w:rPr>
              <w:t xml:space="preserve">Nastavení </w:t>
            </w:r>
            <w:r>
              <w:rPr>
                <w:sz w:val="16"/>
              </w:rPr>
              <w:t>systému</w:t>
            </w:r>
          </w:hyperlink>
          <w:r>
            <w:rPr>
              <w:sz w:val="16"/>
            </w:rPr>
            <w:tab/>
          </w:r>
          <w:hyperlink w:anchor="_bookmark32" w:history="1">
            <w:r>
              <w:rPr>
                <w:spacing w:val="-5"/>
                <w:sz w:val="16"/>
              </w:rPr>
              <w:t>30</w:t>
            </w:r>
          </w:hyperlink>
        </w:p>
        <w:p>
          <w:pPr>
            <w:pStyle w:val="TOC1"/>
            <w:numPr>
              <w:ilvl w:val="0"/>
              <w:numId w:val="44"/>
            </w:numPr>
            <w:tabs>
              <w:tab w:val="left" w:pos="429"/>
              <w:tab w:val="right" w:leader="dot" w:pos="7246"/>
            </w:tabs>
            <w:spacing w:before="81" w:after="0" w:line="240" w:lineRule="auto"/>
            <w:ind w:left="429" w:right="0" w:hanging="134"/>
            <w:jc w:val="left"/>
          </w:pPr>
          <w:hyperlink w:anchor="_bookmark33" w:history="1">
            <w:r>
              <w:rPr>
                <w:sz w:val="16"/>
              </w:rPr>
              <w:t xml:space="preserve">Analýza </w:t>
            </w:r>
            <w:r>
              <w:rPr>
                <w:sz w:val="16"/>
              </w:rPr>
              <w:t xml:space="preserve">poruch </w:t>
            </w:r>
            <w:r>
              <w:rPr>
                <w:sz w:val="16"/>
              </w:rPr>
              <w:t xml:space="preserve">a </w:t>
            </w:r>
            <w:r>
              <w:rPr>
                <w:spacing w:val="-2"/>
                <w:sz w:val="16"/>
              </w:rPr>
              <w:t>odstraňování závad</w:t>
            </w:r>
          </w:hyperlink>
          <w:r>
            <w:rPr>
              <w:sz w:val="16"/>
            </w:rPr>
            <w:tab/>
          </w:r>
          <w:hyperlink w:anchor="_bookmark33" w:history="1">
            <w:r>
              <w:rPr>
                <w:spacing w:val="-5"/>
                <w:sz w:val="16"/>
              </w:rPr>
              <w:t>39</w:t>
            </w:r>
          </w:hyperlink>
        </w:p>
        <w:p>
          <w:pPr>
            <w:pStyle w:val="TOC1"/>
            <w:numPr>
              <w:ilvl w:val="0"/>
              <w:numId w:val="44"/>
            </w:numPr>
            <w:tabs>
              <w:tab w:val="left" w:pos="519"/>
              <w:tab w:val="right" w:leader="dot" w:pos="7246"/>
            </w:tabs>
            <w:spacing w:before="93" w:after="0" w:line="240" w:lineRule="auto"/>
            <w:ind w:left="519" w:right="0" w:hanging="224"/>
            <w:jc w:val="left"/>
          </w:pPr>
          <w:hyperlink w:anchor="_bookmark34" w:history="1">
            <w:r>
              <w:rPr>
                <w:sz w:val="16"/>
              </w:rPr>
              <w:t xml:space="preserve">Bezpečnostní </w:t>
            </w:r>
            <w:r>
              <w:rPr>
                <w:sz w:val="16"/>
              </w:rPr>
              <w:t xml:space="preserve">ochranná </w:t>
            </w:r>
            <w:r>
              <w:rPr>
                <w:sz w:val="16"/>
              </w:rPr>
              <w:t xml:space="preserve">zařízení </w:t>
            </w:r>
            <w:r>
              <w:rPr>
                <w:sz w:val="16"/>
              </w:rPr>
              <w:t xml:space="preserve">a </w:t>
            </w:r>
            <w:r>
              <w:rPr>
                <w:spacing w:val="-2"/>
                <w:sz w:val="16"/>
              </w:rPr>
              <w:t xml:space="preserve">řešení </w:t>
            </w:r>
            <w:r>
              <w:rPr>
                <w:sz w:val="16"/>
              </w:rPr>
              <w:t>nehod</w:t>
            </w:r>
          </w:hyperlink>
          <w:r>
            <w:rPr>
              <w:sz w:val="16"/>
            </w:rPr>
            <w:tab/>
          </w:r>
          <w:hyperlink w:anchor="_bookmark34" w:history="1">
            <w:r>
              <w:rPr>
                <w:spacing w:val="-5"/>
                <w:sz w:val="16"/>
              </w:rPr>
              <w:t>40</w:t>
            </w:r>
          </w:hyperlink>
        </w:p>
        <w:p>
          <w:pPr>
            <w:pStyle w:val="TOC2"/>
            <w:numPr>
              <w:ilvl w:val="1"/>
              <w:numId w:val="44"/>
            </w:numPr>
            <w:tabs>
              <w:tab w:val="left" w:pos="861"/>
              <w:tab w:val="right" w:leader="dot" w:pos="7246"/>
            </w:tabs>
            <w:spacing w:before="95" w:after="0" w:line="240" w:lineRule="auto"/>
            <w:ind w:left="861" w:right="0" w:hanging="358"/>
            <w:jc w:val="left"/>
          </w:pPr>
          <w:hyperlink w:anchor="_bookmark35" w:history="1">
            <w:r>
              <w:rPr>
                <w:sz w:val="16"/>
              </w:rPr>
              <w:t xml:space="preserve">Bezpečnostní </w:t>
            </w:r>
            <w:r>
              <w:rPr>
                <w:sz w:val="16"/>
              </w:rPr>
              <w:t xml:space="preserve">ochranná </w:t>
            </w:r>
            <w:r>
              <w:rPr>
                <w:sz w:val="16"/>
              </w:rPr>
              <w:t xml:space="preserve">zařízení </w:t>
            </w:r>
            <w:r>
              <w:rPr>
                <w:sz w:val="16"/>
              </w:rPr>
              <w:t xml:space="preserve">a </w:t>
            </w:r>
            <w:r>
              <w:rPr>
                <w:spacing w:val="-2"/>
                <w:sz w:val="16"/>
              </w:rPr>
              <w:t>bezpečnostní opatření</w:t>
            </w:r>
          </w:hyperlink>
          <w:r>
            <w:rPr>
              <w:sz w:val="16"/>
            </w:rPr>
            <w:tab/>
          </w:r>
          <w:hyperlink w:anchor="_bookmark35" w:history="1">
            <w:r>
              <w:rPr>
                <w:spacing w:val="-5"/>
                <w:sz w:val="16"/>
              </w:rPr>
              <w:t>40</w:t>
            </w:r>
          </w:hyperlink>
        </w:p>
        <w:p>
          <w:pPr>
            <w:pStyle w:val="TOC2"/>
            <w:numPr>
              <w:ilvl w:val="1"/>
              <w:numId w:val="44"/>
            </w:numPr>
            <w:tabs>
              <w:tab w:val="left" w:pos="861"/>
              <w:tab w:val="right" w:leader="dot" w:pos="7246"/>
            </w:tabs>
            <w:spacing w:before="96" w:after="0" w:line="240" w:lineRule="auto"/>
            <w:ind w:left="861" w:right="0" w:hanging="358"/>
            <w:jc w:val="left"/>
          </w:pPr>
          <w:hyperlink w:anchor="_bookmark36" w:history="1">
            <w:r>
              <w:rPr>
                <w:sz w:val="16"/>
              </w:rPr>
              <w:t xml:space="preserve">Postupy </w:t>
            </w:r>
            <w:r>
              <w:rPr>
                <w:sz w:val="16"/>
              </w:rPr>
              <w:t xml:space="preserve">a </w:t>
            </w:r>
            <w:r>
              <w:rPr>
                <w:sz w:val="16"/>
              </w:rPr>
              <w:t xml:space="preserve">metody </w:t>
            </w:r>
            <w:r>
              <w:rPr>
                <w:sz w:val="16"/>
              </w:rPr>
              <w:t xml:space="preserve">řešení </w:t>
            </w:r>
            <w:r>
              <w:rPr>
                <w:spacing w:val="-2"/>
                <w:sz w:val="16"/>
              </w:rPr>
              <w:t>poruch</w:t>
            </w:r>
          </w:hyperlink>
          <w:r>
            <w:rPr>
              <w:sz w:val="16"/>
            </w:rPr>
            <w:tab/>
          </w:r>
          <w:hyperlink w:anchor="_bookmark36" w:history="1">
            <w:r>
              <w:rPr>
                <w:spacing w:val="-5"/>
                <w:sz w:val="16"/>
              </w:rPr>
              <w:t>40</w:t>
            </w:r>
          </w:hyperlink>
        </w:p>
        <w:p>
          <w:pPr>
            <w:pStyle w:val="TOC1"/>
            <w:numPr>
              <w:ilvl w:val="0"/>
              <w:numId w:val="44"/>
            </w:numPr>
            <w:tabs>
              <w:tab w:val="left" w:pos="512"/>
              <w:tab w:val="right" w:leader="dot" w:pos="7246"/>
            </w:tabs>
            <w:spacing w:before="95" w:after="0" w:line="240" w:lineRule="auto"/>
            <w:ind w:left="512" w:right="0" w:hanging="217"/>
            <w:jc w:val="left"/>
          </w:pPr>
          <w:hyperlink w:anchor="_bookmark37" w:history="1">
            <w:r>
              <w:rPr>
                <w:sz w:val="16"/>
              </w:rPr>
              <w:t xml:space="preserve">Údržba, </w:t>
            </w:r>
            <w:r>
              <w:rPr>
                <w:sz w:val="16"/>
              </w:rPr>
              <w:t xml:space="preserve">kontrola, </w:t>
            </w:r>
            <w:r>
              <w:rPr>
                <w:sz w:val="16"/>
              </w:rPr>
              <w:t xml:space="preserve">opravy </w:t>
            </w:r>
            <w:r>
              <w:rPr>
                <w:sz w:val="16"/>
              </w:rPr>
              <w:t xml:space="preserve">a </w:t>
            </w:r>
            <w:r>
              <w:rPr>
                <w:spacing w:val="-2"/>
                <w:sz w:val="16"/>
              </w:rPr>
              <w:t>recyklace</w:t>
            </w:r>
          </w:hyperlink>
          <w:r>
            <w:rPr>
              <w:sz w:val="16"/>
            </w:rPr>
            <w:tab/>
          </w:r>
          <w:hyperlink w:anchor="_bookmark37" w:history="1">
            <w:r>
              <w:rPr>
                <w:spacing w:val="-5"/>
                <w:sz w:val="16"/>
              </w:rPr>
              <w:t>41</w:t>
            </w:r>
          </w:hyperlink>
        </w:p>
        <w:p>
          <w:pPr>
            <w:pStyle w:val="TOC2"/>
            <w:numPr>
              <w:ilvl w:val="1"/>
              <w:numId w:val="44"/>
            </w:numPr>
            <w:tabs>
              <w:tab w:val="left" w:pos="856"/>
              <w:tab w:val="right" w:leader="dot" w:pos="7246"/>
            </w:tabs>
            <w:spacing w:before="95" w:after="0" w:line="240" w:lineRule="auto"/>
            <w:ind w:left="856" w:right="0" w:hanging="353"/>
            <w:jc w:val="left"/>
          </w:pPr>
          <w:hyperlink w:anchor="_bookmark38" w:history="1">
            <w:r>
              <w:rPr>
                <w:sz w:val="16"/>
              </w:rPr>
              <w:t xml:space="preserve">Denní </w:t>
            </w:r>
            <w:r>
              <w:rPr>
                <w:spacing w:val="-2"/>
                <w:sz w:val="16"/>
              </w:rPr>
              <w:t>údržba</w:t>
            </w:r>
          </w:hyperlink>
          <w:r>
            <w:rPr>
              <w:sz w:val="16"/>
            </w:rPr>
            <w:tab/>
          </w:r>
          <w:hyperlink w:anchor="_bookmark38" w:history="1">
            <w:r>
              <w:rPr>
                <w:spacing w:val="-5"/>
                <w:sz w:val="16"/>
              </w:rPr>
              <w:t>41</w:t>
            </w:r>
          </w:hyperlink>
        </w:p>
        <w:p>
          <w:pPr>
            <w:pStyle w:val="TOC2"/>
            <w:numPr>
              <w:ilvl w:val="1"/>
              <w:numId w:val="44"/>
            </w:numPr>
            <w:tabs>
              <w:tab w:val="left" w:pos="856"/>
              <w:tab w:val="right" w:leader="dot" w:pos="7246"/>
            </w:tabs>
            <w:spacing w:before="96" w:after="0" w:line="240" w:lineRule="auto"/>
            <w:ind w:left="856" w:right="0" w:hanging="353"/>
            <w:jc w:val="left"/>
          </w:pPr>
          <w:hyperlink w:anchor="_bookmark39" w:history="1">
            <w:r>
              <w:rPr>
                <w:sz w:val="16"/>
              </w:rPr>
              <w:t xml:space="preserve">Údržba </w:t>
            </w:r>
            <w:r>
              <w:rPr>
                <w:sz w:val="16"/>
              </w:rPr>
              <w:t xml:space="preserve">během </w:t>
            </w:r>
            <w:r>
              <w:rPr>
                <w:spacing w:val="-2"/>
                <w:sz w:val="16"/>
              </w:rPr>
              <w:t>provozu</w:t>
            </w:r>
          </w:hyperlink>
          <w:r>
            <w:rPr>
              <w:sz w:val="16"/>
            </w:rPr>
            <w:tab/>
          </w:r>
          <w:hyperlink w:anchor="_bookmark39" w:history="1">
            <w:r>
              <w:rPr>
                <w:spacing w:val="-5"/>
                <w:sz w:val="16"/>
              </w:rPr>
              <w:t>41</w:t>
            </w:r>
          </w:hyperlink>
        </w:p>
        <w:p>
          <w:pPr>
            <w:pStyle w:val="TOC2"/>
            <w:numPr>
              <w:ilvl w:val="1"/>
              <w:numId w:val="44"/>
            </w:numPr>
            <w:tabs>
              <w:tab w:val="left" w:pos="856"/>
              <w:tab w:val="right" w:leader="dot" w:pos="7246"/>
            </w:tabs>
            <w:spacing w:before="93" w:after="0" w:line="240" w:lineRule="auto"/>
            <w:ind w:left="856" w:right="0" w:hanging="353"/>
            <w:jc w:val="left"/>
          </w:pPr>
          <w:hyperlink w:anchor="_bookmark40" w:history="1">
            <w:r>
              <w:rPr>
                <w:sz w:val="16"/>
              </w:rPr>
              <w:t xml:space="preserve">Pravidelná </w:t>
            </w:r>
            <w:r>
              <w:rPr>
                <w:spacing w:val="-2"/>
                <w:sz w:val="16"/>
              </w:rPr>
              <w:t>kontrola</w:t>
            </w:r>
          </w:hyperlink>
          <w:r>
            <w:rPr>
              <w:sz w:val="16"/>
            </w:rPr>
            <w:tab/>
          </w:r>
          <w:hyperlink w:anchor="_bookmark40" w:history="1">
            <w:r>
              <w:rPr>
                <w:spacing w:val="-5"/>
                <w:sz w:val="16"/>
              </w:rPr>
              <w:t>41</w:t>
            </w:r>
          </w:hyperlink>
        </w:p>
        <w:p>
          <w:pPr>
            <w:pStyle w:val="TOC2"/>
            <w:numPr>
              <w:ilvl w:val="1"/>
              <w:numId w:val="44"/>
            </w:numPr>
            <w:tabs>
              <w:tab w:val="left" w:pos="856"/>
              <w:tab w:val="right" w:leader="dot" w:pos="7246"/>
            </w:tabs>
            <w:spacing w:before="95" w:after="0" w:line="240" w:lineRule="auto"/>
            <w:ind w:left="856" w:right="0" w:hanging="353"/>
            <w:jc w:val="left"/>
          </w:pPr>
          <w:hyperlink w:anchor="_bookmark41" w:history="1">
            <w:r>
              <w:rPr>
                <w:spacing w:val="-2"/>
                <w:sz w:val="16"/>
              </w:rPr>
              <w:t xml:space="preserve">Postup </w:t>
            </w:r>
            <w:r>
              <w:rPr>
                <w:sz w:val="16"/>
              </w:rPr>
              <w:t xml:space="preserve">pravidelné </w:t>
            </w:r>
            <w:r>
              <w:rPr>
                <w:sz w:val="16"/>
              </w:rPr>
              <w:t>údržby</w:t>
            </w:r>
          </w:hyperlink>
          <w:r>
            <w:rPr>
              <w:sz w:val="16"/>
            </w:rPr>
            <w:tab/>
          </w:r>
          <w:hyperlink w:anchor="_bookmark41" w:history="1">
            <w:r>
              <w:rPr>
                <w:spacing w:val="-5"/>
                <w:sz w:val="16"/>
              </w:rPr>
              <w:t>42</w:t>
            </w:r>
          </w:hyperlink>
        </w:p>
        <w:p>
          <w:pPr>
            <w:pStyle w:val="TOC2"/>
            <w:numPr>
              <w:ilvl w:val="1"/>
              <w:numId w:val="44"/>
            </w:numPr>
            <w:tabs>
              <w:tab w:val="left" w:pos="856"/>
              <w:tab w:val="right" w:leader="dot" w:pos="7246"/>
            </w:tabs>
            <w:spacing w:before="96" w:after="0" w:line="240" w:lineRule="auto"/>
            <w:ind w:left="856" w:right="0" w:hanging="353"/>
            <w:jc w:val="left"/>
          </w:pPr>
          <w:hyperlink w:anchor="_bookmark42" w:history="1">
            <w:r>
              <w:rPr>
                <w:sz w:val="16"/>
              </w:rPr>
              <w:t xml:space="preserve">Údržba </w:t>
            </w:r>
            <w:r>
              <w:rPr>
                <w:sz w:val="16"/>
              </w:rPr>
              <w:t xml:space="preserve">a </w:t>
            </w:r>
            <w:r>
              <w:rPr>
                <w:sz w:val="16"/>
              </w:rPr>
              <w:t xml:space="preserve">péče během </w:t>
            </w:r>
            <w:r>
              <w:rPr>
                <w:sz w:val="16"/>
              </w:rPr>
              <w:t xml:space="preserve">dlouhodobého </w:t>
            </w:r>
            <w:r>
              <w:rPr>
                <w:spacing w:val="-2"/>
                <w:sz w:val="16"/>
              </w:rPr>
              <w:t>skladování</w:t>
            </w:r>
          </w:hyperlink>
          <w:r>
            <w:rPr>
              <w:sz w:val="16"/>
            </w:rPr>
            <w:tab/>
          </w:r>
          <w:hyperlink w:anchor="_bookmark42" w:history="1">
            <w:r>
              <w:rPr>
                <w:spacing w:val="-5"/>
                <w:sz w:val="16"/>
              </w:rPr>
              <w:t>42</w:t>
            </w:r>
          </w:hyperlink>
        </w:p>
        <w:p>
          <w:pPr>
            <w:pStyle w:val="TOC2"/>
            <w:numPr>
              <w:ilvl w:val="1"/>
              <w:numId w:val="44"/>
            </w:numPr>
            <w:tabs>
              <w:tab w:val="left" w:pos="856"/>
              <w:tab w:val="right" w:leader="dot" w:pos="7246"/>
            </w:tabs>
            <w:spacing w:before="95" w:after="0" w:line="240" w:lineRule="auto"/>
            <w:ind w:left="856" w:right="0" w:hanging="353"/>
            <w:jc w:val="left"/>
          </w:pPr>
          <w:hyperlink w:anchor="_bookmark43" w:history="1">
            <w:r>
              <w:rPr>
                <w:spacing w:val="-2"/>
                <w:sz w:val="16"/>
              </w:rPr>
              <w:t>Recyklace</w:t>
            </w:r>
          </w:hyperlink>
          <w:r>
            <w:rPr>
              <w:sz w:val="16"/>
            </w:rPr>
            <w:tab/>
          </w:r>
          <w:hyperlink w:anchor="_bookmark43" w:history="1">
            <w:r>
              <w:rPr>
                <w:spacing w:val="-5"/>
                <w:sz w:val="16"/>
              </w:rPr>
              <w:t>43</w:t>
            </w:r>
          </w:hyperlink>
        </w:p>
        <w:p>
          <w:pPr>
            <w:pStyle w:val="TOC1"/>
            <w:numPr>
              <w:ilvl w:val="0"/>
              <w:numId w:val="44"/>
            </w:numPr>
            <w:tabs>
              <w:tab w:val="left" w:pos="519"/>
              <w:tab w:val="right" w:leader="dot" w:pos="7246"/>
            </w:tabs>
            <w:spacing w:before="95" w:after="0" w:line="240" w:lineRule="auto"/>
            <w:ind w:left="519" w:right="0" w:hanging="224"/>
            <w:jc w:val="left"/>
          </w:pPr>
          <w:hyperlink w:anchor="_bookmark44" w:history="1">
            <w:r>
              <w:rPr>
                <w:sz w:val="16"/>
              </w:rPr>
              <w:t xml:space="preserve">Přeprava </w:t>
            </w:r>
            <w:r>
              <w:rPr>
                <w:sz w:val="16"/>
              </w:rPr>
              <w:t xml:space="preserve">a </w:t>
            </w:r>
            <w:r>
              <w:rPr>
                <w:spacing w:val="-2"/>
                <w:sz w:val="16"/>
              </w:rPr>
              <w:t>skladování</w:t>
            </w:r>
          </w:hyperlink>
          <w:r>
            <w:rPr>
              <w:sz w:val="16"/>
            </w:rPr>
            <w:tab/>
          </w:r>
          <w:hyperlink w:anchor="_bookmark44" w:history="1">
            <w:r>
              <w:rPr>
                <w:spacing w:val="-5"/>
                <w:sz w:val="16"/>
              </w:rPr>
              <w:t>43</w:t>
            </w:r>
          </w:hyperlink>
        </w:p>
        <w:p>
          <w:pPr>
            <w:pStyle w:val="TOC2"/>
            <w:numPr>
              <w:ilvl w:val="1"/>
              <w:numId w:val="44"/>
            </w:numPr>
            <w:tabs>
              <w:tab w:val="left" w:pos="859"/>
              <w:tab w:val="right" w:leader="dot" w:pos="7246"/>
            </w:tabs>
            <w:spacing w:before="96" w:after="0" w:line="240" w:lineRule="auto"/>
            <w:ind w:left="859" w:right="0" w:hanging="356"/>
            <w:jc w:val="left"/>
          </w:pPr>
          <w:hyperlink w:anchor="_bookmark45" w:history="1">
            <w:r>
              <w:rPr>
                <w:spacing w:val="-2"/>
                <w:sz w:val="16"/>
              </w:rPr>
              <w:t xml:space="preserve">Bezpečnostní opatření </w:t>
            </w:r>
            <w:r>
              <w:rPr>
                <w:sz w:val="16"/>
              </w:rPr>
              <w:t>při přepravě</w:t>
            </w:r>
          </w:hyperlink>
          <w:r>
            <w:rPr>
              <w:sz w:val="16"/>
            </w:rPr>
            <w:tab/>
          </w:r>
          <w:hyperlink w:anchor="_bookmark45" w:history="1">
            <w:r>
              <w:rPr>
                <w:spacing w:val="-5"/>
                <w:sz w:val="16"/>
              </w:rPr>
              <w:t>43</w:t>
            </w:r>
          </w:hyperlink>
        </w:p>
        <w:p>
          <w:pPr>
            <w:pStyle w:val="TOC2"/>
            <w:numPr>
              <w:ilvl w:val="1"/>
              <w:numId w:val="44"/>
            </w:numPr>
            <w:tabs>
              <w:tab w:val="left" w:pos="861"/>
              <w:tab w:val="right" w:leader="dot" w:pos="7246"/>
            </w:tabs>
            <w:spacing w:before="93" w:after="0" w:line="240" w:lineRule="auto"/>
            <w:ind w:left="861" w:right="0" w:hanging="358"/>
            <w:jc w:val="left"/>
          </w:pPr>
          <w:hyperlink w:anchor="_bookmark46" w:history="1">
            <w:r>
              <w:rPr>
                <w:sz w:val="16"/>
              </w:rPr>
              <w:t xml:space="preserve">Skladovací </w:t>
            </w:r>
            <w:r>
              <w:rPr>
                <w:spacing w:val="-2"/>
                <w:sz w:val="16"/>
              </w:rPr>
              <w:t>podmínky</w:t>
            </w:r>
          </w:hyperlink>
          <w:r>
            <w:rPr>
              <w:sz w:val="16"/>
            </w:rPr>
            <w:tab/>
          </w:r>
          <w:hyperlink w:anchor="_bookmark46" w:history="1">
            <w:r>
              <w:rPr>
                <w:spacing w:val="-5"/>
                <w:sz w:val="16"/>
              </w:rPr>
              <w:t>43</w:t>
            </w:r>
          </w:hyperlink>
        </w:p>
        <w:p>
          <w:pPr>
            <w:pStyle w:val="TOC1"/>
            <w:numPr>
              <w:ilvl w:val="0"/>
              <w:numId w:val="44"/>
            </w:numPr>
            <w:tabs>
              <w:tab w:val="left" w:pos="519"/>
              <w:tab w:val="right" w:leader="dot" w:pos="7246"/>
            </w:tabs>
            <w:spacing w:before="95" w:after="0" w:line="240" w:lineRule="auto"/>
            <w:ind w:left="519" w:right="0" w:hanging="224"/>
            <w:jc w:val="left"/>
          </w:pPr>
          <w:hyperlink w:anchor="_bookmark47" w:history="1">
            <w:r>
              <w:rPr>
                <w:spacing w:val="-4"/>
                <w:sz w:val="16"/>
              </w:rPr>
              <w:t xml:space="preserve">Seznam </w:t>
            </w:r>
            <w:r>
              <w:rPr>
                <w:sz w:val="16"/>
              </w:rPr>
              <w:t>obsahu balení</w:t>
            </w:r>
          </w:hyperlink>
          <w:r>
            <w:rPr>
              <w:sz w:val="16"/>
            </w:rPr>
            <w:tab/>
          </w:r>
          <w:hyperlink w:anchor="_bookmark47" w:history="1">
            <w:r>
              <w:rPr>
                <w:spacing w:val="-5"/>
                <w:sz w:val="16"/>
              </w:rPr>
              <w:t>43</w:t>
            </w:r>
          </w:hyperlink>
        </w:p>
        <w:p>
          <w:pPr>
            <w:pStyle w:val="TOC2"/>
            <w:numPr>
              <w:ilvl w:val="1"/>
              <w:numId w:val="44"/>
            </w:numPr>
            <w:tabs>
              <w:tab w:val="left" w:pos="861"/>
              <w:tab w:val="right" w:leader="dot" w:pos="7246"/>
            </w:tabs>
            <w:spacing w:before="96" w:after="0" w:line="240" w:lineRule="auto"/>
            <w:ind w:left="861" w:right="0" w:hanging="358"/>
            <w:jc w:val="left"/>
          </w:pPr>
          <w:hyperlink w:anchor="_bookmark48" w:history="1">
            <w:r>
              <w:rPr>
                <w:sz w:val="16"/>
              </w:rPr>
              <w:t xml:space="preserve">Standardní </w:t>
            </w:r>
            <w:r>
              <w:rPr>
                <w:sz w:val="16"/>
              </w:rPr>
              <w:t xml:space="preserve">konfigurace </w:t>
            </w:r>
            <w:r>
              <w:rPr>
                <w:sz w:val="16"/>
              </w:rPr>
              <w:t xml:space="preserve">uvnitř </w:t>
            </w:r>
            <w:r>
              <w:rPr>
                <w:spacing w:val="-5"/>
                <w:sz w:val="16"/>
              </w:rPr>
              <w:t>balení</w:t>
            </w:r>
          </w:hyperlink>
          <w:r>
            <w:rPr>
              <w:sz w:val="16"/>
            </w:rPr>
            <w:tab/>
          </w:r>
          <w:hyperlink w:anchor="_bookmark48" w:history="1">
            <w:r>
              <w:rPr>
                <w:spacing w:val="-5"/>
                <w:sz w:val="16"/>
              </w:rPr>
              <w:t>43</w:t>
            </w:r>
          </w:hyperlink>
        </w:p>
        <w:p>
          <w:pPr>
            <w:pStyle w:val="TOC2"/>
            <w:numPr>
              <w:ilvl w:val="1"/>
              <w:numId w:val="44"/>
            </w:numPr>
            <w:tabs>
              <w:tab w:val="left" w:pos="851"/>
              <w:tab w:val="right" w:leader="dot" w:pos="7246"/>
            </w:tabs>
            <w:spacing w:before="95" w:after="0" w:line="240" w:lineRule="auto"/>
            <w:ind w:left="851" w:right="0" w:hanging="348"/>
            <w:jc w:val="left"/>
          </w:pPr>
          <w:hyperlink w:anchor="_bookmark49" w:history="1">
            <w:r>
              <w:rPr>
                <w:spacing w:val="-4"/>
                <w:sz w:val="16"/>
              </w:rPr>
              <w:t xml:space="preserve">Seznam </w:t>
            </w:r>
            <w:r>
              <w:rPr>
                <w:sz w:val="16"/>
              </w:rPr>
              <w:t>příslušenství</w:t>
            </w:r>
          </w:hyperlink>
          <w:r>
            <w:rPr>
              <w:sz w:val="16"/>
            </w:rPr>
            <w:tab/>
          </w:r>
          <w:hyperlink w:anchor="_bookmark49" w:history="1">
            <w:r>
              <w:rPr>
                <w:spacing w:val="-5"/>
                <w:sz w:val="16"/>
              </w:rPr>
              <w:t>44</w:t>
            </w:r>
          </w:hyperlink>
        </w:p>
        <w:p>
          <w:pPr>
            <w:pStyle w:val="TOC1"/>
            <w:numPr>
              <w:ilvl w:val="0"/>
              <w:numId w:val="44"/>
            </w:numPr>
            <w:tabs>
              <w:tab w:val="left" w:pos="519"/>
              <w:tab w:val="right" w:leader="dot" w:pos="7246"/>
            </w:tabs>
            <w:spacing w:before="96" w:after="0" w:line="240" w:lineRule="auto"/>
            <w:ind w:left="519" w:right="0" w:hanging="224"/>
            <w:jc w:val="left"/>
          </w:pPr>
          <w:hyperlink w:anchor="_bookmark50" w:history="1">
            <w:r>
              <w:rPr>
                <w:spacing w:val="-2"/>
                <w:sz w:val="16"/>
              </w:rPr>
              <w:t xml:space="preserve">Kontrola </w:t>
            </w:r>
            <w:r>
              <w:rPr>
                <w:sz w:val="16"/>
              </w:rPr>
              <w:t>po vybalení</w:t>
            </w:r>
          </w:hyperlink>
          <w:r>
            <w:rPr>
              <w:sz w:val="16"/>
            </w:rPr>
            <w:tab/>
          </w:r>
          <w:hyperlink w:anchor="_bookmark50" w:history="1">
            <w:r>
              <w:rPr>
                <w:spacing w:val="-5"/>
                <w:sz w:val="16"/>
              </w:rPr>
              <w:t>44</w:t>
            </w:r>
          </w:hyperlink>
        </w:p>
        <w:p>
          <w:pPr>
            <w:pStyle w:val="TOC1"/>
            <w:numPr>
              <w:ilvl w:val="0"/>
              <w:numId w:val="44"/>
            </w:numPr>
            <w:tabs>
              <w:tab w:val="left" w:pos="519"/>
              <w:tab w:val="right" w:leader="dot" w:pos="7246"/>
            </w:tabs>
            <w:spacing w:before="95" w:after="0" w:line="240" w:lineRule="auto"/>
            <w:ind w:left="519" w:right="0" w:hanging="224"/>
            <w:jc w:val="left"/>
          </w:pPr>
          <w:hyperlink w:anchor="_bookmark51" w:history="1">
            <w:r>
              <w:rPr>
                <w:sz w:val="16"/>
              </w:rPr>
              <w:t xml:space="preserve">Poprodejní </w:t>
            </w:r>
            <w:r>
              <w:rPr>
                <w:spacing w:val="-2"/>
                <w:sz w:val="16"/>
              </w:rPr>
              <w:t>servis</w:t>
            </w:r>
          </w:hyperlink>
          <w:r>
            <w:rPr>
              <w:sz w:val="16"/>
            </w:rPr>
            <w:tab/>
          </w:r>
          <w:hyperlink w:anchor="_bookmark51" w:history="1">
            <w:r>
              <w:rPr>
                <w:spacing w:val="-5"/>
                <w:sz w:val="16"/>
              </w:rPr>
              <w:t>44</w:t>
            </w:r>
          </w:hyperlink>
        </w:p>
        <w:p>
          <w:pPr>
            <w:pStyle w:val="TOC1"/>
            <w:tabs>
              <w:tab w:val="right" w:leader="dot" w:pos="7246"/>
            </w:tabs>
            <w:spacing w:before="93"/>
            <w:ind w:left="295" w:firstLine="0"/>
          </w:pPr>
          <w:hyperlink w:anchor="_bookmark52" w:history="1">
            <w:r>
              <w:rPr>
                <w:sz w:val="16"/>
              </w:rPr>
              <w:t xml:space="preserve">Příloha </w:t>
            </w:r>
            <w:r>
              <w:rPr>
                <w:spacing w:val="-10"/>
                <w:sz w:val="16"/>
              </w:rPr>
              <w:t>I</w:t>
            </w:r>
          </w:hyperlink>
          <w:r>
            <w:rPr>
              <w:sz w:val="16"/>
            </w:rPr>
            <w:tab/>
          </w:r>
          <w:hyperlink w:anchor="_bookmark52" w:history="1">
            <w:r>
              <w:rPr>
                <w:spacing w:val="-5"/>
                <w:sz w:val="16"/>
              </w:rPr>
              <w:t>45</w:t>
            </w:r>
          </w:hyperlink>
        </w:p>
        <w:p>
          <w:pPr>
            <w:pStyle w:val="TOC2"/>
            <w:tabs>
              <w:tab w:val="right" w:leader="dot" w:pos="7246"/>
            </w:tabs>
            <w:ind w:left="503" w:firstLine="0"/>
          </w:pPr>
          <w:hyperlink w:anchor="_bookmark53" w:history="1">
            <w:r>
              <w:rPr>
                <w:sz w:val="16"/>
              </w:rPr>
              <w:t>Tabulka</w:t>
            </w:r>
            <w:r>
              <w:rPr>
                <w:sz w:val="16"/>
              </w:rPr>
              <w:t xml:space="preserve"> 1 </w:t>
            </w:r>
            <w:r>
              <w:rPr>
                <w:sz w:val="16"/>
              </w:rPr>
              <w:t xml:space="preserve">Klasifikace </w:t>
            </w:r>
            <w:r>
              <w:rPr>
                <w:sz w:val="16"/>
              </w:rPr>
              <w:t xml:space="preserve">alarmů </w:t>
            </w:r>
            <w:r>
              <w:rPr>
                <w:sz w:val="16"/>
              </w:rPr>
              <w:t xml:space="preserve">a </w:t>
            </w:r>
            <w:r>
              <w:rPr>
                <w:spacing w:val="-4"/>
                <w:sz w:val="16"/>
              </w:rPr>
              <w:t xml:space="preserve">barvy </w:t>
            </w:r>
            <w:r>
              <w:rPr>
                <w:sz w:val="16"/>
              </w:rPr>
              <w:t xml:space="preserve">alarmových </w:t>
            </w:r>
            <w:r>
              <w:rPr>
                <w:sz w:val="16"/>
              </w:rPr>
              <w:t>kontrolek</w:t>
            </w:r>
          </w:hyperlink>
          <w:r>
            <w:rPr>
              <w:sz w:val="16"/>
            </w:rPr>
            <w:tab/>
          </w:r>
          <w:hyperlink w:anchor="_bookmark53" w:history="1">
            <w:r>
              <w:rPr>
                <w:spacing w:val="-5"/>
                <w:sz w:val="16"/>
              </w:rPr>
              <w:t>45</w:t>
            </w:r>
          </w:hyperlink>
        </w:p>
        <w:p>
          <w:pPr>
            <w:pStyle w:val="TOC2"/>
            <w:tabs>
              <w:tab w:val="right" w:leader="dot" w:pos="7246"/>
            </w:tabs>
            <w:spacing w:before="96"/>
            <w:ind w:left="503" w:firstLine="0"/>
          </w:pPr>
          <w:hyperlink w:anchor="_bookmark54" w:history="1">
            <w:r>
              <w:rPr>
                <w:sz w:val="16"/>
              </w:rPr>
              <w:t>Tabulka</w:t>
            </w:r>
            <w:r>
              <w:rPr>
                <w:sz w:val="16"/>
              </w:rPr>
              <w:t xml:space="preserve"> 2 </w:t>
            </w:r>
            <w:r>
              <w:rPr>
                <w:sz w:val="16"/>
              </w:rPr>
              <w:t xml:space="preserve">Alarmové </w:t>
            </w:r>
            <w:r>
              <w:rPr>
                <w:sz w:val="16"/>
              </w:rPr>
              <w:t xml:space="preserve">stavy </w:t>
            </w:r>
            <w:r>
              <w:rPr>
                <w:sz w:val="16"/>
              </w:rPr>
              <w:t xml:space="preserve">a </w:t>
            </w:r>
            <w:r>
              <w:rPr>
                <w:spacing w:val="-4"/>
                <w:sz w:val="16"/>
              </w:rPr>
              <w:t xml:space="preserve">zpoždění </w:t>
            </w:r>
            <w:r>
              <w:rPr>
                <w:sz w:val="16"/>
              </w:rPr>
              <w:t xml:space="preserve">generování </w:t>
            </w:r>
            <w:r>
              <w:rPr>
                <w:sz w:val="16"/>
              </w:rPr>
              <w:t xml:space="preserve">alarmového </w:t>
            </w:r>
            <w:r>
              <w:rPr>
                <w:sz w:val="16"/>
              </w:rPr>
              <w:t>signálu</w:t>
            </w:r>
          </w:hyperlink>
          <w:r>
            <w:rPr>
              <w:sz w:val="16"/>
            </w:rPr>
            <w:tab/>
          </w:r>
          <w:hyperlink w:anchor="_bookmark54" w:history="1">
            <w:r>
              <w:rPr>
                <w:spacing w:val="-5"/>
                <w:sz w:val="16"/>
              </w:rPr>
              <w:t>46</w:t>
            </w:r>
          </w:hyperlink>
        </w:p>
        <w:p>
          <w:pPr>
            <w:pStyle w:val="TOC2"/>
            <w:tabs>
              <w:tab w:val="right" w:leader="dot" w:pos="7246"/>
            </w:tabs>
            <w:ind w:left="503" w:firstLine="0"/>
          </w:pPr>
          <w:hyperlink w:anchor="_bookmark55" w:history="1">
            <w:r>
              <w:rPr>
                <w:sz w:val="16"/>
              </w:rPr>
              <w:t>Tabulka</w:t>
            </w:r>
            <w:r>
              <w:rPr>
                <w:sz w:val="16"/>
              </w:rPr>
              <w:t xml:space="preserve"> 3 </w:t>
            </w:r>
            <w:r>
              <w:rPr>
                <w:sz w:val="16"/>
              </w:rPr>
              <w:t xml:space="preserve">Charakteristické </w:t>
            </w:r>
            <w:r>
              <w:rPr>
                <w:spacing w:val="-2"/>
                <w:sz w:val="16"/>
              </w:rPr>
              <w:t xml:space="preserve">parametry </w:t>
            </w:r>
            <w:r>
              <w:rPr>
                <w:sz w:val="16"/>
              </w:rPr>
              <w:t xml:space="preserve">zvukového </w:t>
            </w:r>
            <w:r>
              <w:rPr>
                <w:sz w:val="16"/>
              </w:rPr>
              <w:t>alarmu</w:t>
            </w:r>
          </w:hyperlink>
          <w:r>
            <w:rPr>
              <w:sz w:val="16"/>
            </w:rPr>
            <w:tab/>
          </w:r>
          <w:hyperlink w:anchor="_bookmark55" w:history="1">
            <w:r>
              <w:rPr>
                <w:spacing w:val="-5"/>
                <w:sz w:val="16"/>
              </w:rPr>
              <w:t>47</w:t>
            </w:r>
          </w:hyperlink>
        </w:p>
        <w:p>
          <w:pPr>
            <w:pStyle w:val="TOC2"/>
            <w:tabs>
              <w:tab w:val="right" w:leader="dot" w:pos="7246"/>
            </w:tabs>
            <w:spacing w:before="96"/>
            <w:ind w:left="503" w:firstLine="0"/>
          </w:pPr>
          <w:hyperlink w:anchor="_bookmark56" w:history="1">
            <w:r>
              <w:rPr>
                <w:sz w:val="16"/>
              </w:rPr>
              <w:t>Tabulka</w:t>
            </w:r>
            <w:r>
              <w:rPr>
                <w:sz w:val="16"/>
              </w:rPr>
              <w:t xml:space="preserve"> 4 </w:t>
            </w:r>
            <w:r>
              <w:rPr>
                <w:spacing w:val="-2"/>
                <w:sz w:val="16"/>
              </w:rPr>
              <w:t xml:space="preserve">Charakteristiky </w:t>
            </w:r>
            <w:r>
              <w:rPr>
                <w:sz w:val="16"/>
              </w:rPr>
              <w:t xml:space="preserve">reakce </w:t>
            </w:r>
            <w:r>
              <w:rPr>
                <w:sz w:val="16"/>
              </w:rPr>
              <w:t>na zablokování</w:t>
            </w:r>
          </w:hyperlink>
          <w:r>
            <w:rPr>
              <w:sz w:val="16"/>
            </w:rPr>
            <w:tab/>
          </w:r>
          <w:hyperlink w:anchor="_bookmark56" w:history="1">
            <w:r>
              <w:rPr>
                <w:spacing w:val="-5"/>
                <w:sz w:val="16"/>
              </w:rPr>
              <w:t>47</w:t>
            </w:r>
          </w:hyperlink>
        </w:p>
        <w:p>
          <w:pPr>
            <w:pStyle w:val="TOC2"/>
            <w:tabs>
              <w:tab w:val="right" w:leader="dot" w:pos="7246"/>
            </w:tabs>
            <w:ind w:left="503" w:firstLine="0"/>
          </w:pPr>
          <w:hyperlink w:anchor="_bookmark57" w:history="1">
            <w:r>
              <w:rPr>
                <w:sz w:val="16"/>
              </w:rPr>
              <w:t>Tabulka</w:t>
            </w:r>
            <w:r>
              <w:rPr>
                <w:sz w:val="16"/>
              </w:rPr>
              <w:t xml:space="preserve"> 5 </w:t>
            </w:r>
            <w:r>
              <w:rPr>
                <w:sz w:val="16"/>
              </w:rPr>
              <w:t xml:space="preserve">Spouštěcí </w:t>
            </w:r>
            <w:r>
              <w:rPr>
                <w:spacing w:val="-4"/>
                <w:sz w:val="16"/>
              </w:rPr>
              <w:t>křivka</w:t>
            </w:r>
          </w:hyperlink>
          <w:r>
            <w:rPr>
              <w:sz w:val="16"/>
            </w:rPr>
            <w:tab/>
          </w:r>
          <w:hyperlink w:anchor="_bookmark57" w:history="1">
            <w:r>
              <w:rPr>
                <w:spacing w:val="-5"/>
                <w:sz w:val="16"/>
              </w:rPr>
              <w:t>48</w:t>
            </w:r>
          </w:hyperlink>
        </w:p>
        <w:p>
          <w:pPr>
            <w:pStyle w:val="TOC2"/>
            <w:tabs>
              <w:tab w:val="right" w:leader="dot" w:pos="7246"/>
            </w:tabs>
            <w:spacing w:before="93"/>
            <w:ind w:left="503" w:firstLine="0"/>
          </w:pPr>
          <w:hyperlink w:anchor="_bookmark58" w:history="1">
            <w:r>
              <w:rPr>
                <w:sz w:val="16"/>
              </w:rPr>
              <w:t>Tabulka</w:t>
            </w:r>
            <w:r>
              <w:rPr>
                <w:sz w:val="16"/>
              </w:rPr>
              <w:t xml:space="preserve"> 6 </w:t>
            </w:r>
            <w:r>
              <w:rPr>
                <w:spacing w:val="-4"/>
                <w:sz w:val="16"/>
              </w:rPr>
              <w:t xml:space="preserve">Křivka </w:t>
            </w:r>
            <w:r>
              <w:rPr>
                <w:sz w:val="16"/>
              </w:rPr>
              <w:t>trumpety</w:t>
            </w:r>
          </w:hyperlink>
          <w:r>
            <w:rPr>
              <w:sz w:val="16"/>
            </w:rPr>
            <w:tab/>
          </w:r>
          <w:hyperlink w:anchor="_bookmark58" w:history="1">
            <w:r>
              <w:rPr>
                <w:spacing w:val="-5"/>
                <w:sz w:val="16"/>
              </w:rPr>
              <w:t>49</w:t>
            </w:r>
          </w:hyperlink>
        </w:p>
        <w:p>
          <w:pPr>
            <w:pStyle w:val="TOC1"/>
            <w:tabs>
              <w:tab w:val="right" w:leader="dot" w:pos="7246"/>
            </w:tabs>
            <w:ind w:left="295" w:firstLine="0"/>
          </w:pPr>
          <w:hyperlink w:anchor="_bookmark59" w:history="1">
            <w:r>
              <w:rPr>
                <w:sz w:val="16"/>
              </w:rPr>
              <w:t xml:space="preserve">Příloha </w:t>
            </w:r>
            <w:r>
              <w:rPr>
                <w:sz w:val="16"/>
              </w:rPr>
              <w:t xml:space="preserve">II </w:t>
            </w:r>
            <w:r>
              <w:rPr>
                <w:sz w:val="16"/>
              </w:rPr>
              <w:t xml:space="preserve">Elektromagnetická </w:t>
            </w:r>
            <w:r>
              <w:rPr>
                <w:spacing w:val="-2"/>
                <w:sz w:val="16"/>
              </w:rPr>
              <w:t>kompatibilita</w:t>
            </w:r>
          </w:hyperlink>
          <w:r>
            <w:rPr>
              <w:sz w:val="16"/>
            </w:rPr>
            <w:tab/>
          </w:r>
          <w:hyperlink w:anchor="_bookmark59" w:history="1">
            <w:r>
              <w:rPr>
                <w:spacing w:val="-5"/>
                <w:sz w:val="16"/>
              </w:rPr>
              <w:t>50</w:t>
            </w:r>
          </w:hyperlink>
        </w:p>
        <w:p>
          <w:pPr>
            <w:pStyle w:val="TOC1"/>
            <w:tabs>
              <w:tab w:val="right" w:leader="dot" w:pos="7246"/>
            </w:tabs>
            <w:spacing w:before="96"/>
            <w:ind w:left="295" w:firstLine="0"/>
          </w:pPr>
          <w:hyperlink w:anchor="_bookmark60" w:history="1">
            <w:r>
              <w:rPr>
                <w:sz w:val="16"/>
              </w:rPr>
              <w:t xml:space="preserve">Příloha </w:t>
            </w:r>
            <w:r>
              <w:rPr>
                <w:sz w:val="16"/>
              </w:rPr>
              <w:t xml:space="preserve">III </w:t>
            </w:r>
            <w:r>
              <w:rPr>
                <w:sz w:val="16"/>
              </w:rPr>
              <w:t xml:space="preserve">Kybernetická </w:t>
            </w:r>
            <w:r>
              <w:rPr>
                <w:spacing w:val="-2"/>
                <w:sz w:val="16"/>
              </w:rPr>
              <w:t>bezpečnost</w:t>
            </w:r>
          </w:hyperlink>
          <w:r>
            <w:rPr>
              <w:sz w:val="16"/>
            </w:rPr>
            <w:tab/>
          </w:r>
          <w:hyperlink w:anchor="_bookmark60" w:history="1">
            <w:r>
              <w:rPr>
                <w:spacing w:val="-5"/>
                <w:sz w:val="16"/>
              </w:rPr>
              <w:t>55</w:t>
            </w:r>
          </w:hyperlink>
        </w:p>
      </w:sdtContent>
    </w:sdt>
    <w:p>
      <w:pPr>
        <w:pStyle w:val="TOC1"/>
        <w:spacing w:after="0"/>
        <w:sectPr>
          <w:type w:val="continuous"/>
          <w:pgSz w:w="8390" w:h="11910"/>
          <w:pgMar w:top="666" w:right="425" w:bottom="787" w:left="425" w:header="0" w:footer="342"/>
          <w:cols w:space="708"/>
        </w:sectPr>
      </w:pPr>
    </w:p>
    <w:p>
      <w:pPr>
        <w:pStyle w:val="Heading1"/>
        <w:spacing w:before="75"/>
        <w:ind w:left="295" w:firstLine="0"/>
      </w:pPr>
      <w:bookmarkStart w:id="0" w:name="Manual Revision Statement"/>
      <w:bookmarkEnd w:id="0"/>
      <w:bookmarkStart w:id="1" w:name="_bookmark0"/>
      <w:bookmarkEnd w:id="1"/>
      <w:r>
        <w:rPr>
          <w:spacing w:val="-2"/>
          <w:sz w:val="18"/>
        </w:rPr>
        <w:t xml:space="preserve">Prohlášení </w:t>
      </w:r>
      <w:r>
        <w:rPr>
          <w:sz w:val="18"/>
        </w:rPr>
        <w:t xml:space="preserve">o revizi </w:t>
      </w:r>
      <w:r>
        <w:rPr>
          <w:sz w:val="18"/>
        </w:rPr>
        <w:t>příručky</w:t>
      </w:r>
    </w:p>
    <w:p>
      <w:pPr>
        <w:pStyle w:val="BodyText"/>
        <w:spacing w:before="158" w:line="278" w:lineRule="auto"/>
        <w:ind w:right="293"/>
        <w:jc w:val="both"/>
      </w:pPr>
      <w:r>
        <w:rPr>
          <w:sz w:val="16"/>
        </w:rPr>
        <w:t xml:space="preserve">Autorská práva k této příručce náleží společnosti Shenzhen Hawk Medical Instrument Co., Ltd. Žádná organizace ani jednotlivec nesmí bez </w:t>
      </w:r>
      <w:r>
        <w:rPr>
          <w:sz w:val="16"/>
        </w:rPr>
        <w:t xml:space="preserve">souhlasu naší společnosti </w:t>
      </w:r>
      <w:r>
        <w:rPr>
          <w:sz w:val="16"/>
        </w:rPr>
        <w:t>kopírovat, upravovat ani překládat obsah této příručky</w:t>
      </w:r>
      <w:r>
        <w:rPr>
          <w:sz w:val="16"/>
        </w:rPr>
        <w:t>.</w:t>
      </w:r>
    </w:p>
    <w:p>
      <w:pPr>
        <w:pStyle w:val="BodyText"/>
        <w:spacing w:line="278" w:lineRule="auto"/>
        <w:ind w:right="293"/>
        <w:jc w:val="both"/>
      </w:pPr>
      <w:r>
        <w:rPr>
          <w:sz w:val="16"/>
        </w:rPr>
        <w:t xml:space="preserve">Tato příručka bude podle potřeby aktualizována, aby odrážela vylepšení produktu nebo změny v předpisech, a zajistila tak soulad s příslušnými zákony. Vztahuje se na </w:t>
      </w:r>
      <w:r>
        <w:rPr>
          <w:sz w:val="16"/>
        </w:rPr>
        <w:t xml:space="preserve">injekční </w:t>
      </w:r>
      <w:r>
        <w:rPr>
          <w:spacing w:val="-2"/>
          <w:sz w:val="16"/>
        </w:rPr>
        <w:t>pumpu</w:t>
      </w:r>
      <w:r>
        <w:rPr>
          <w:sz w:val="16"/>
        </w:rPr>
        <w:t xml:space="preserve"> HK-400Ⅲ</w:t>
      </w:r>
      <w:r>
        <w:rPr>
          <w:spacing w:val="-2"/>
          <w:sz w:val="16"/>
        </w:rPr>
        <w:t>.</w:t>
      </w:r>
    </w:p>
    <w:p>
      <w:pPr>
        <w:pStyle w:val="BodyText"/>
        <w:spacing w:before="4" w:after="1"/>
        <w:ind w:left="0"/>
        <w:rPr>
          <w:sz w:val="11"/>
        </w:rPr>
      </w:pPr>
    </w:p>
    <w:tbl>
      <w:tblPr>
        <w:tblStyle w:val="TableNormal"/>
        <w:tblW w:w="0" w:type="auto"/>
        <w:jc w:val="left"/>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6"/>
        <w:gridCol w:w="2051"/>
      </w:tblGrid>
      <w:tr>
        <w:tblPrEx>
          <w:tblW w:w="0" w:type="auto"/>
          <w:tblInd w:w="1651" w:type="dxa"/>
          <w:tblLayout w:type="fixed"/>
          <w:tblLook w:val="01E0"/>
        </w:tblPrEx>
        <w:trPr>
          <w:trHeight w:val="364"/>
        </w:trPr>
        <w:tc>
          <w:tcPr>
            <w:tcW w:w="2196" w:type="dxa"/>
          </w:tcPr>
          <w:p>
            <w:pPr>
              <w:pStyle w:val="TableParagraph"/>
              <w:spacing w:before="86"/>
              <w:ind w:left="11"/>
              <w:jc w:val="center"/>
              <w:rPr>
                <w:sz w:val="18"/>
              </w:rPr>
            </w:pPr>
            <w:r>
              <w:rPr>
                <w:spacing w:val="-2"/>
                <w:sz w:val="16"/>
              </w:rPr>
              <w:t>Verze</w:t>
            </w:r>
          </w:p>
        </w:tc>
        <w:tc>
          <w:tcPr>
            <w:tcW w:w="2051" w:type="dxa"/>
          </w:tcPr>
          <w:p>
            <w:pPr>
              <w:pStyle w:val="TableParagraph"/>
              <w:spacing w:before="86"/>
              <w:ind w:left="9"/>
              <w:jc w:val="center"/>
              <w:rPr>
                <w:sz w:val="18"/>
              </w:rPr>
            </w:pPr>
            <w:r>
              <w:rPr>
                <w:spacing w:val="-4"/>
                <w:sz w:val="16"/>
              </w:rPr>
              <w:t xml:space="preserve">Datum </w:t>
            </w:r>
            <w:r>
              <w:rPr>
                <w:sz w:val="16"/>
              </w:rPr>
              <w:t>revize</w:t>
            </w:r>
          </w:p>
        </w:tc>
      </w:tr>
      <w:tr>
        <w:tblPrEx>
          <w:tblW w:w="0" w:type="auto"/>
          <w:tblInd w:w="1651" w:type="dxa"/>
          <w:tblLayout w:type="fixed"/>
          <w:tblLook w:val="01E0"/>
        </w:tblPrEx>
        <w:trPr>
          <w:trHeight w:val="363"/>
        </w:trPr>
        <w:tc>
          <w:tcPr>
            <w:tcW w:w="2196" w:type="dxa"/>
          </w:tcPr>
          <w:p>
            <w:pPr>
              <w:pStyle w:val="TableParagraph"/>
              <w:spacing w:before="87"/>
              <w:ind w:left="11" w:right="3"/>
              <w:jc w:val="center"/>
              <w:rPr>
                <w:sz w:val="18"/>
              </w:rPr>
            </w:pPr>
            <w:r>
              <w:rPr>
                <w:spacing w:val="-2"/>
                <w:sz w:val="16"/>
              </w:rPr>
              <w:t>V1.0.2</w:t>
            </w:r>
          </w:p>
        </w:tc>
        <w:tc>
          <w:tcPr>
            <w:tcW w:w="2051" w:type="dxa"/>
          </w:tcPr>
          <w:p>
            <w:pPr>
              <w:pStyle w:val="TableParagraph"/>
              <w:spacing w:before="87"/>
              <w:ind w:left="9" w:right="2"/>
              <w:jc w:val="center"/>
              <w:rPr>
                <w:sz w:val="18"/>
              </w:rPr>
            </w:pPr>
            <w:r>
              <w:rPr>
                <w:spacing w:val="-4"/>
                <w:sz w:val="16"/>
              </w:rPr>
              <w:t>17-02-2025</w:t>
            </w:r>
          </w:p>
        </w:tc>
      </w:tr>
    </w:tbl>
    <w:p>
      <w:pPr>
        <w:pStyle w:val="BodyText"/>
        <w:spacing w:before="0"/>
        <w:ind w:left="0"/>
      </w:pPr>
    </w:p>
    <w:p>
      <w:pPr>
        <w:pStyle w:val="BodyText"/>
        <w:spacing w:before="108"/>
        <w:ind w:left="0"/>
      </w:pPr>
    </w:p>
    <w:p>
      <w:pPr>
        <w:pStyle w:val="BodyText"/>
        <w:spacing w:before="0"/>
      </w:pPr>
      <w:r>
        <w:rPr>
          <w:spacing w:val="-2"/>
          <w:sz w:val="16"/>
        </w:rPr>
        <w:t xml:space="preserve">Informace </w:t>
      </w:r>
      <w:r>
        <w:rPr>
          <w:sz w:val="16"/>
        </w:rPr>
        <w:t xml:space="preserve">o aktualizaci </w:t>
      </w:r>
      <w:r>
        <w:rPr>
          <w:sz w:val="16"/>
        </w:rPr>
        <w:t xml:space="preserve">verze </w:t>
      </w:r>
      <w:r>
        <w:rPr>
          <w:sz w:val="16"/>
        </w:rPr>
        <w:t>příručky</w:t>
      </w:r>
      <w:r>
        <w:rPr>
          <w:spacing w:val="-2"/>
          <w:sz w:val="16"/>
        </w:rPr>
        <w:t>:</w:t>
      </w:r>
    </w:p>
    <w:p>
      <w:pPr>
        <w:pStyle w:val="BodyText"/>
        <w:spacing w:before="190"/>
        <w:jc w:val="both"/>
      </w:pPr>
      <w:r>
        <w:rPr>
          <w:sz w:val="16"/>
        </w:rPr>
        <w:t xml:space="preserve">V </w:t>
      </w:r>
      <w:r>
        <w:rPr>
          <w:spacing w:val="-2"/>
          <w:sz w:val="16"/>
        </w:rPr>
        <w:t>X.Y.Z.B</w:t>
      </w:r>
    </w:p>
    <w:p>
      <w:pPr>
        <w:pStyle w:val="BodyText"/>
        <w:spacing w:before="189"/>
      </w:pPr>
      <w:r>
        <w:rPr>
          <w:sz w:val="16"/>
        </w:rPr>
        <w:t xml:space="preserve">V: </w:t>
      </w:r>
      <w:r>
        <w:rPr>
          <w:sz w:val="16"/>
        </w:rPr>
        <w:t xml:space="preserve">Verze </w:t>
      </w:r>
      <w:r>
        <w:rPr>
          <w:sz w:val="16"/>
        </w:rPr>
        <w:t>označuje</w:t>
      </w:r>
      <w:r>
        <w:rPr>
          <w:sz w:val="16"/>
        </w:rPr>
        <w:t xml:space="preserve">, že </w:t>
      </w:r>
      <w:r>
        <w:rPr>
          <w:sz w:val="16"/>
        </w:rPr>
        <w:t xml:space="preserve">se jedná o </w:t>
      </w:r>
      <w:r>
        <w:rPr>
          <w:spacing w:val="-2"/>
          <w:sz w:val="16"/>
        </w:rPr>
        <w:t xml:space="preserve">číslo </w:t>
      </w:r>
      <w:r>
        <w:rPr>
          <w:sz w:val="16"/>
        </w:rPr>
        <w:t>verze</w:t>
      </w:r>
      <w:r>
        <w:rPr>
          <w:spacing w:val="-2"/>
          <w:sz w:val="16"/>
        </w:rPr>
        <w:t>.</w:t>
      </w:r>
    </w:p>
    <w:p>
      <w:pPr>
        <w:pStyle w:val="BodyText"/>
        <w:spacing w:before="189" w:line="278" w:lineRule="auto"/>
        <w:ind w:right="353"/>
      </w:pPr>
      <w:r>
        <w:rPr>
          <w:sz w:val="16"/>
        </w:rPr>
        <w:t xml:space="preserve">X: Rozsah (01–99) označuje významné aktualizace softwaru typu vylepšení, které zahrnují významné </w:t>
      </w:r>
      <w:r>
        <w:rPr>
          <w:sz w:val="16"/>
        </w:rPr>
        <w:t xml:space="preserve">změny </w:t>
      </w:r>
      <w:r>
        <w:rPr>
          <w:sz w:val="16"/>
        </w:rPr>
        <w:t xml:space="preserve">funkcí </w:t>
      </w:r>
      <w:r>
        <w:rPr>
          <w:sz w:val="16"/>
        </w:rPr>
        <w:t xml:space="preserve">nebo </w:t>
      </w:r>
      <w:r>
        <w:rPr>
          <w:sz w:val="16"/>
        </w:rPr>
        <w:t>modulů</w:t>
      </w:r>
      <w:r>
        <w:rPr>
          <w:sz w:val="16"/>
        </w:rPr>
        <w:t xml:space="preserve">, </w:t>
      </w:r>
      <w:r>
        <w:rPr>
          <w:sz w:val="16"/>
        </w:rPr>
        <w:t xml:space="preserve">jako jsou </w:t>
      </w:r>
      <w:r>
        <w:rPr>
          <w:sz w:val="16"/>
        </w:rPr>
        <w:t xml:space="preserve">podstatné </w:t>
      </w:r>
      <w:r>
        <w:rPr>
          <w:sz w:val="16"/>
        </w:rPr>
        <w:t xml:space="preserve">změny </w:t>
      </w:r>
      <w:r>
        <w:rPr>
          <w:sz w:val="16"/>
        </w:rPr>
        <w:t>hardwaru</w:t>
      </w:r>
      <w:r>
        <w:rPr>
          <w:sz w:val="16"/>
        </w:rPr>
        <w:t xml:space="preserve">, </w:t>
      </w:r>
      <w:r>
        <w:rPr>
          <w:sz w:val="16"/>
        </w:rPr>
        <w:t>významné revize architektury softwaru nebo významná vylepšení zabezpečení sítě.</w:t>
      </w:r>
    </w:p>
    <w:p>
      <w:pPr>
        <w:pStyle w:val="BodyText"/>
        <w:spacing w:before="155" w:line="278" w:lineRule="auto"/>
        <w:ind w:right="353"/>
      </w:pPr>
      <w:r>
        <w:rPr>
          <w:sz w:val="16"/>
        </w:rPr>
        <w:t xml:space="preserve">Y: </w:t>
      </w:r>
      <w:r>
        <w:rPr>
          <w:sz w:val="16"/>
        </w:rPr>
        <w:t xml:space="preserve">Rozsah </w:t>
      </w:r>
      <w:r>
        <w:rPr>
          <w:sz w:val="16"/>
        </w:rPr>
        <w:t xml:space="preserve">(01-99) </w:t>
      </w:r>
      <w:r>
        <w:rPr>
          <w:sz w:val="16"/>
        </w:rPr>
        <w:t xml:space="preserve">označuje </w:t>
      </w:r>
      <w:r>
        <w:rPr>
          <w:sz w:val="16"/>
        </w:rPr>
        <w:t xml:space="preserve">menší </w:t>
      </w:r>
      <w:r>
        <w:rPr>
          <w:sz w:val="16"/>
        </w:rPr>
        <w:t>aktualizace</w:t>
      </w:r>
      <w:r>
        <w:rPr>
          <w:sz w:val="16"/>
        </w:rPr>
        <w:t xml:space="preserve"> </w:t>
      </w:r>
      <w:r>
        <w:rPr>
          <w:sz w:val="16"/>
        </w:rPr>
        <w:t>softwaru</w:t>
      </w:r>
      <w:r>
        <w:rPr>
          <w:sz w:val="16"/>
        </w:rPr>
        <w:t xml:space="preserve">, </w:t>
      </w:r>
      <w:r>
        <w:rPr>
          <w:sz w:val="16"/>
        </w:rPr>
        <w:t xml:space="preserve">které </w:t>
      </w:r>
      <w:r>
        <w:rPr>
          <w:sz w:val="16"/>
        </w:rPr>
        <w:t xml:space="preserve">jsou </w:t>
      </w:r>
      <w:r>
        <w:rPr>
          <w:sz w:val="16"/>
        </w:rPr>
        <w:t xml:space="preserve">implementovány </w:t>
      </w:r>
      <w:r>
        <w:rPr>
          <w:sz w:val="16"/>
        </w:rPr>
        <w:t>pro lokalizované změny v softwaru nebo menší vylepšení zabezpečení sítě, jako je například nekompatibilita s předchozími verzemi softwaru.</w:t>
      </w:r>
    </w:p>
    <w:p>
      <w:pPr>
        <w:pStyle w:val="BodyText"/>
        <w:spacing w:line="278" w:lineRule="auto"/>
        <w:ind w:right="353"/>
      </w:pPr>
      <w:r>
        <w:rPr>
          <w:sz w:val="16"/>
        </w:rPr>
        <w:t xml:space="preserve">Z: </w:t>
      </w:r>
      <w:r>
        <w:rPr>
          <w:sz w:val="16"/>
        </w:rPr>
        <w:t xml:space="preserve">Rozsah </w:t>
      </w:r>
      <w:r>
        <w:rPr>
          <w:sz w:val="16"/>
        </w:rPr>
        <w:t xml:space="preserve">(01-99) </w:t>
      </w:r>
      <w:r>
        <w:rPr>
          <w:sz w:val="16"/>
        </w:rPr>
        <w:t xml:space="preserve">označuje </w:t>
      </w:r>
      <w:r>
        <w:rPr>
          <w:sz w:val="16"/>
        </w:rPr>
        <w:t xml:space="preserve">opravné </w:t>
      </w:r>
      <w:r>
        <w:rPr>
          <w:sz w:val="16"/>
        </w:rPr>
        <w:t xml:space="preserve">aktualizace </w:t>
      </w:r>
      <w:r>
        <w:rPr>
          <w:sz w:val="16"/>
        </w:rPr>
        <w:t>softwaru</w:t>
      </w:r>
      <w:r>
        <w:rPr>
          <w:sz w:val="16"/>
        </w:rPr>
        <w:t xml:space="preserve">, </w:t>
      </w:r>
      <w:r>
        <w:rPr>
          <w:sz w:val="16"/>
        </w:rPr>
        <w:t xml:space="preserve">které se provádějí </w:t>
      </w:r>
      <w:r>
        <w:rPr>
          <w:sz w:val="16"/>
        </w:rPr>
        <w:t xml:space="preserve">především </w:t>
      </w:r>
      <w:r>
        <w:rPr>
          <w:sz w:val="16"/>
        </w:rPr>
        <w:t xml:space="preserve">za účelem </w:t>
      </w:r>
      <w:r>
        <w:rPr>
          <w:sz w:val="16"/>
        </w:rPr>
        <w:t>opravy chyb nebo menších úprav.</w:t>
      </w:r>
    </w:p>
    <w:p>
      <w:pPr>
        <w:pStyle w:val="BodyText"/>
      </w:pPr>
      <w:r>
        <w:rPr>
          <w:sz w:val="16"/>
        </w:rPr>
        <w:t xml:space="preserve">B: </w:t>
      </w:r>
      <w:r>
        <w:rPr>
          <w:sz w:val="16"/>
        </w:rPr>
        <w:t xml:space="preserve">Rozsah </w:t>
      </w:r>
      <w:r>
        <w:rPr>
          <w:sz w:val="16"/>
        </w:rPr>
        <w:t xml:space="preserve">(01-99), </w:t>
      </w:r>
      <w:r>
        <w:rPr>
          <w:sz w:val="16"/>
        </w:rPr>
        <w:t xml:space="preserve">označuje </w:t>
      </w:r>
      <w:r>
        <w:rPr>
          <w:spacing w:val="-2"/>
          <w:sz w:val="16"/>
        </w:rPr>
        <w:t>sestavení.</w:t>
      </w:r>
    </w:p>
    <w:p>
      <w:pPr>
        <w:pStyle w:val="BodyText"/>
        <w:spacing w:after="0"/>
        <w:sectPr>
          <w:footerReference w:type="default" r:id="rId5"/>
          <w:pgSz w:w="8390" w:h="11910"/>
          <w:pgMar w:top="680" w:right="425" w:bottom="540" w:left="425" w:header="0" w:footer="342"/>
          <w:pgNumType w:start="1"/>
          <w:cols w:space="708"/>
        </w:sectPr>
      </w:pPr>
    </w:p>
    <w:p>
      <w:pPr>
        <w:pStyle w:val="Heading1"/>
        <w:numPr>
          <w:ilvl w:val="0"/>
          <w:numId w:val="1"/>
        </w:numPr>
        <w:tabs>
          <w:tab w:val="left" w:pos="443"/>
        </w:tabs>
        <w:spacing w:before="72" w:after="0" w:line="240" w:lineRule="auto"/>
        <w:ind w:left="443" w:right="0" w:hanging="148"/>
        <w:jc w:val="left"/>
      </w:pPr>
      <w:bookmarkStart w:id="2" w:name="1.Warnings and Precautions"/>
      <w:bookmarkEnd w:id="2"/>
      <w:bookmarkStart w:id="3" w:name="_bookmark1"/>
      <w:bookmarkEnd w:id="3"/>
      <w:r>
        <w:rPr>
          <w:sz w:val="18"/>
        </w:rPr>
        <w:t xml:space="preserve">Varování </w:t>
      </w:r>
      <w:r>
        <w:rPr>
          <w:sz w:val="18"/>
        </w:rPr>
        <w:t xml:space="preserve">a </w:t>
      </w:r>
      <w:r>
        <w:rPr>
          <w:spacing w:val="-2"/>
          <w:sz w:val="18"/>
        </w:rPr>
        <w:t>bezpečnostní opatření</w:t>
      </w:r>
    </w:p>
    <w:p>
      <w:pPr>
        <w:pStyle w:val="Heading2"/>
        <w:spacing w:before="86"/>
      </w:pPr>
      <w:r>
        <w:rPr>
          <w:spacing w:val="-2"/>
          <w:sz w:val="16"/>
        </w:rPr>
        <w:t>Varování</w:t>
      </w:r>
    </w:p>
    <w:p>
      <w:pPr>
        <w:pStyle w:val="BodyText"/>
        <w:spacing w:before="127" w:line="278" w:lineRule="auto"/>
      </w:pPr>
      <w:r>
        <w:rPr>
          <w:sz w:val="16"/>
        </w:rPr>
        <w:t xml:space="preserve">Varování v této části upozorňují, že ignorování těchto bezpečnostních opatření může vést k nebezpečným </w:t>
      </w:r>
      <w:r>
        <w:rPr>
          <w:sz w:val="16"/>
        </w:rPr>
        <w:t>situacím, které mohou mít za následek smrt nebo zranění.</w:t>
      </w:r>
    </w:p>
    <w:p>
      <w:pPr>
        <w:pStyle w:val="ListParagraph"/>
        <w:numPr>
          <w:ilvl w:val="0"/>
          <w:numId w:val="43"/>
        </w:numPr>
        <w:tabs>
          <w:tab w:val="left" w:pos="528"/>
        </w:tabs>
        <w:spacing w:before="155" w:after="0" w:line="278" w:lineRule="auto"/>
        <w:ind w:left="295" w:right="293" w:firstLine="0"/>
        <w:jc w:val="both"/>
        <w:rPr>
          <w:sz w:val="18"/>
        </w:rPr>
      </w:pPr>
      <w:r>
        <w:rPr>
          <w:sz w:val="16"/>
        </w:rPr>
        <w:t xml:space="preserve">Tato injekční pumpa využívá </w:t>
      </w:r>
      <w:r>
        <w:rPr>
          <w:sz w:val="16"/>
        </w:rPr>
        <w:t xml:space="preserve">motorem poháněný šroub pro </w:t>
      </w:r>
      <w:r>
        <w:rPr>
          <w:sz w:val="16"/>
        </w:rPr>
        <w:t xml:space="preserve">podávání </w:t>
      </w:r>
      <w:r>
        <w:rPr>
          <w:sz w:val="16"/>
        </w:rPr>
        <w:t xml:space="preserve">léků </w:t>
      </w:r>
      <w:r>
        <w:rPr>
          <w:sz w:val="16"/>
        </w:rPr>
        <w:t>a nedetekuje problémy, jako je odpojení nebo prasknutí infuzní hadičky, které mohou způsobit únik. Proto provádějte pravidelné kontroly, abyste se ujistili, že během provozu nedochází k žádným poruchám.</w:t>
      </w:r>
    </w:p>
    <w:p>
      <w:pPr>
        <w:pStyle w:val="ListParagraph"/>
        <w:numPr>
          <w:ilvl w:val="0"/>
          <w:numId w:val="43"/>
        </w:numPr>
        <w:tabs>
          <w:tab w:val="left" w:pos="534"/>
        </w:tabs>
        <w:spacing w:before="156" w:after="0" w:line="278" w:lineRule="auto"/>
        <w:ind w:left="295" w:right="294" w:firstLine="0"/>
        <w:jc w:val="both"/>
        <w:rPr>
          <w:sz w:val="18"/>
        </w:rPr>
      </w:pPr>
      <w:r>
        <w:rPr>
          <w:sz w:val="16"/>
        </w:rPr>
        <w:t xml:space="preserve">Během infuze pravidelně kontrolujte zbývající množství léku v jednorázové sterilní injekční stříkačce, </w:t>
      </w:r>
      <w:r>
        <w:rPr>
          <w:sz w:val="16"/>
        </w:rPr>
        <w:t>aby byl zajištěn správný průběh infuze.</w:t>
      </w:r>
    </w:p>
    <w:p>
      <w:pPr>
        <w:pStyle w:val="ListParagraph"/>
        <w:numPr>
          <w:ilvl w:val="0"/>
          <w:numId w:val="43"/>
        </w:numPr>
        <w:tabs>
          <w:tab w:val="left" w:pos="553"/>
        </w:tabs>
        <w:spacing w:before="156" w:after="0" w:line="278" w:lineRule="auto"/>
        <w:ind w:left="295" w:right="291" w:firstLine="0"/>
        <w:jc w:val="both"/>
        <w:rPr>
          <w:sz w:val="18"/>
        </w:rPr>
      </w:pPr>
      <w:r>
        <w:rPr>
          <w:sz w:val="16"/>
        </w:rPr>
        <w:t xml:space="preserve">Tento produkt obsahuje funkci detekce ucpání, která upozorní uživatele, pokud je intravenózní infuzní jehla nesprávně umístěna nebo se během infuze posunula z žíly. Ačkoli se alarm spustí, když okluzní tlak dosáhne určité úrovně, kdy již mohou nastat příznaky jako otok nebo krvácení v místě vpichu, a okluzní tlak nemusí vždy dosáhnout prahové hodnoty alarmu, což vede ke zpoždění aktivace alarmu, je nutné pravidelně kontrolovat místo vpichu. V případě jakýchkoli abnormalit v místě vpichu </w:t>
      </w:r>
      <w:r>
        <w:rPr>
          <w:sz w:val="16"/>
        </w:rPr>
        <w:t xml:space="preserve">je třeba přijmout </w:t>
      </w:r>
      <w:r>
        <w:rPr>
          <w:sz w:val="16"/>
        </w:rPr>
        <w:t xml:space="preserve">včasná a </w:t>
      </w:r>
      <w:r>
        <w:rPr>
          <w:sz w:val="16"/>
        </w:rPr>
        <w:t>vhodná opatření</w:t>
      </w:r>
      <w:r>
        <w:rPr>
          <w:sz w:val="16"/>
        </w:rPr>
        <w:t>,</w:t>
      </w:r>
      <w:r>
        <w:rPr>
          <w:sz w:val="16"/>
        </w:rPr>
        <w:t xml:space="preserve"> jako je například nový vpich.</w:t>
      </w:r>
    </w:p>
    <w:p>
      <w:pPr>
        <w:pStyle w:val="ListParagraph"/>
        <w:numPr>
          <w:ilvl w:val="0"/>
          <w:numId w:val="43"/>
        </w:numPr>
        <w:tabs>
          <w:tab w:val="left" w:pos="535"/>
        </w:tabs>
        <w:spacing w:before="155" w:after="0" w:line="278" w:lineRule="auto"/>
        <w:ind w:left="295" w:right="291" w:firstLine="0"/>
        <w:jc w:val="both"/>
        <w:rPr>
          <w:sz w:val="18"/>
        </w:rPr>
      </w:pPr>
      <w:r>
        <w:rPr>
          <w:sz w:val="16"/>
        </w:rPr>
        <w:t xml:space="preserve">Pokud je průtok infuze bráněn problémy, jako je zamotání hadičky, srážení v filtru nebo ucpání jehly vedoucí k tvorbě krevních sraženin v injekční stříkačce, tlak v infuzní hadičce stoupne. Odstranění takových ucpání může představovat riziko „bolusového dávkování“, které může </w:t>
      </w:r>
      <w:r>
        <w:rPr>
          <w:sz w:val="16"/>
        </w:rPr>
        <w:t>vést k</w:t>
      </w:r>
      <w:r>
        <w:rPr>
          <w:sz w:val="16"/>
        </w:rPr>
        <w:t xml:space="preserve"> dočasnému </w:t>
      </w:r>
      <w:r>
        <w:rPr>
          <w:sz w:val="16"/>
        </w:rPr>
        <w:t xml:space="preserve">předávkování </w:t>
      </w:r>
      <w:r>
        <w:rPr>
          <w:sz w:val="16"/>
        </w:rPr>
        <w:t xml:space="preserve">pacienta. </w:t>
      </w:r>
      <w:r>
        <w:rPr>
          <w:sz w:val="16"/>
        </w:rPr>
        <w:t xml:space="preserve">Správná </w:t>
      </w:r>
      <w:r>
        <w:rPr>
          <w:sz w:val="16"/>
        </w:rPr>
        <w:t xml:space="preserve">metoda </w:t>
      </w:r>
      <w:r>
        <w:rPr>
          <w:sz w:val="16"/>
        </w:rPr>
        <w:t xml:space="preserve">spočívá v sevření </w:t>
      </w:r>
      <w:r>
        <w:rPr>
          <w:sz w:val="16"/>
        </w:rPr>
        <w:t xml:space="preserve">nebo </w:t>
      </w:r>
      <w:r>
        <w:rPr>
          <w:sz w:val="16"/>
        </w:rPr>
        <w:t xml:space="preserve">sevření </w:t>
      </w:r>
      <w:r>
        <w:rPr>
          <w:sz w:val="16"/>
        </w:rPr>
        <w:t>infuzní hadičky v blízkosti místa vpichu a následném uvolnění tlaku v hadičce. Poté hadičku uvolněte, odstraňte příčinu ucpání a pokračujte v infuzi.</w:t>
      </w:r>
    </w:p>
    <w:p>
      <w:pPr>
        <w:pStyle w:val="ListParagraph"/>
        <w:numPr>
          <w:ilvl w:val="0"/>
          <w:numId w:val="43"/>
        </w:numPr>
        <w:tabs>
          <w:tab w:val="left" w:pos="509"/>
        </w:tabs>
        <w:spacing w:before="156" w:after="0" w:line="278" w:lineRule="auto"/>
        <w:ind w:left="295" w:right="296" w:firstLine="0"/>
        <w:jc w:val="both"/>
        <w:rPr>
          <w:sz w:val="18"/>
        </w:rPr>
      </w:pPr>
      <w:r>
        <w:rPr>
          <w:sz w:val="16"/>
        </w:rPr>
        <w:t xml:space="preserve">Používejte </w:t>
      </w:r>
      <w:r>
        <w:rPr>
          <w:sz w:val="16"/>
        </w:rPr>
        <w:t xml:space="preserve">sterilní </w:t>
      </w:r>
      <w:r>
        <w:rPr>
          <w:sz w:val="16"/>
        </w:rPr>
        <w:t xml:space="preserve">jednorázové </w:t>
      </w:r>
      <w:r>
        <w:rPr>
          <w:sz w:val="16"/>
        </w:rPr>
        <w:t xml:space="preserve">injekční stříkačky, které </w:t>
      </w:r>
      <w:r>
        <w:rPr>
          <w:sz w:val="16"/>
        </w:rPr>
        <w:t xml:space="preserve">splňují </w:t>
      </w:r>
      <w:r>
        <w:rPr>
          <w:sz w:val="16"/>
        </w:rPr>
        <w:t xml:space="preserve">příslušné </w:t>
      </w:r>
      <w:r>
        <w:rPr>
          <w:sz w:val="16"/>
        </w:rPr>
        <w:t xml:space="preserve">předpisy </w:t>
      </w:r>
      <w:r>
        <w:rPr>
          <w:sz w:val="16"/>
        </w:rPr>
        <w:t xml:space="preserve">a </w:t>
      </w:r>
      <w:r>
        <w:rPr>
          <w:sz w:val="16"/>
        </w:rPr>
        <w:t xml:space="preserve">normy </w:t>
      </w:r>
      <w:r>
        <w:rPr>
          <w:sz w:val="16"/>
        </w:rPr>
        <w:t xml:space="preserve">a </w:t>
      </w:r>
      <w:r>
        <w:rPr>
          <w:sz w:val="16"/>
        </w:rPr>
        <w:t xml:space="preserve">mají </w:t>
      </w:r>
      <w:r>
        <w:rPr>
          <w:sz w:val="16"/>
        </w:rPr>
        <w:t>platné certifikáty registrace zdravotnických prostředků; vybírejte injekční stříkačky a prodlužovací hadičky se šroubovými konektory, aby se zabránilo poranění v důsledku tahu hadičky.</w:t>
      </w:r>
    </w:p>
    <w:p>
      <w:pPr>
        <w:pStyle w:val="ListParagraph"/>
        <w:numPr>
          <w:ilvl w:val="0"/>
          <w:numId w:val="43"/>
        </w:numPr>
        <w:tabs>
          <w:tab w:val="left" w:pos="539"/>
        </w:tabs>
        <w:spacing w:before="155" w:after="0" w:line="278" w:lineRule="auto"/>
        <w:ind w:left="295" w:right="291" w:firstLine="0"/>
        <w:jc w:val="both"/>
        <w:rPr>
          <w:sz w:val="18"/>
        </w:rPr>
      </w:pPr>
      <w:r>
        <w:rPr>
          <w:sz w:val="16"/>
        </w:rPr>
        <w:t>Uživatelé musí zajistit správnou instalaci injekční stříkačky. V opačném případě nemusí být dosaženo očekávaného výkonu.</w:t>
      </w:r>
    </w:p>
    <w:p>
      <w:pPr>
        <w:pStyle w:val="ListParagraph"/>
        <w:numPr>
          <w:ilvl w:val="0"/>
          <w:numId w:val="43"/>
        </w:numPr>
        <w:tabs>
          <w:tab w:val="left" w:pos="526"/>
        </w:tabs>
        <w:spacing w:before="156" w:after="0" w:line="278" w:lineRule="auto"/>
        <w:ind w:left="295" w:right="292" w:firstLine="0"/>
        <w:jc w:val="both"/>
        <w:rPr>
          <w:sz w:val="18"/>
        </w:rPr>
      </w:pPr>
      <w:r>
        <w:rPr>
          <w:sz w:val="16"/>
        </w:rPr>
        <w:t xml:space="preserve">Vyhněte se opakovanému použití nebo opětovné sterilizaci jednorázových injekčních stříkaček; po použití je řádně zlikvidujte podle příslušných </w:t>
      </w:r>
      <w:r>
        <w:rPr>
          <w:sz w:val="16"/>
        </w:rPr>
        <w:t>pokynů.</w:t>
      </w:r>
    </w:p>
    <w:p>
      <w:pPr>
        <w:pStyle w:val="ListParagraph"/>
        <w:numPr>
          <w:ilvl w:val="0"/>
          <w:numId w:val="43"/>
        </w:numPr>
        <w:tabs>
          <w:tab w:val="left" w:pos="528"/>
        </w:tabs>
        <w:spacing w:before="156" w:after="0" w:line="278" w:lineRule="auto"/>
        <w:ind w:left="295" w:right="245" w:firstLine="0"/>
        <w:jc w:val="both"/>
        <w:rPr>
          <w:sz w:val="18"/>
        </w:rPr>
      </w:pPr>
      <w:r>
        <w:rPr>
          <w:sz w:val="16"/>
        </w:rPr>
        <w:t xml:space="preserve">Zajistěte, </w:t>
      </w:r>
      <w:r>
        <w:rPr>
          <w:sz w:val="16"/>
        </w:rPr>
        <w:t>aby</w:t>
      </w:r>
      <w:r>
        <w:rPr>
          <w:sz w:val="16"/>
        </w:rPr>
        <w:t xml:space="preserve"> byla </w:t>
      </w:r>
      <w:r>
        <w:rPr>
          <w:sz w:val="16"/>
        </w:rPr>
        <w:t xml:space="preserve">injekční pumpa </w:t>
      </w:r>
      <w:r>
        <w:rPr>
          <w:sz w:val="16"/>
        </w:rPr>
        <w:t xml:space="preserve">pevně připevněna </w:t>
      </w:r>
      <w:r>
        <w:rPr>
          <w:sz w:val="16"/>
        </w:rPr>
        <w:t xml:space="preserve">k </w:t>
      </w:r>
      <w:r>
        <w:rPr>
          <w:sz w:val="16"/>
        </w:rPr>
        <w:t xml:space="preserve">infuznímu </w:t>
      </w:r>
      <w:r>
        <w:rPr>
          <w:sz w:val="16"/>
        </w:rPr>
        <w:t xml:space="preserve">stojanu </w:t>
      </w:r>
      <w:r>
        <w:rPr>
          <w:sz w:val="16"/>
        </w:rPr>
        <w:t xml:space="preserve">a </w:t>
      </w:r>
      <w:r>
        <w:rPr>
          <w:sz w:val="16"/>
        </w:rPr>
        <w:t xml:space="preserve">aby </w:t>
      </w:r>
      <w:r>
        <w:rPr>
          <w:sz w:val="16"/>
        </w:rPr>
        <w:t xml:space="preserve">byl </w:t>
      </w:r>
      <w:r>
        <w:rPr>
          <w:sz w:val="16"/>
        </w:rPr>
        <w:t xml:space="preserve">stojan </w:t>
      </w:r>
      <w:r>
        <w:rPr>
          <w:sz w:val="16"/>
        </w:rPr>
        <w:t>stabilní; při přemísťování infuzního stojanu a injekční pumpy s nimi zacházejte opatrně, aby nedošlo k uklouznutí pumpy nebo pádu stojanu či kolizi s okolními předměty.</w:t>
      </w:r>
    </w:p>
    <w:p>
      <w:pPr>
        <w:pStyle w:val="ListParagraph"/>
        <w:numPr>
          <w:ilvl w:val="0"/>
          <w:numId w:val="43"/>
        </w:numPr>
        <w:tabs>
          <w:tab w:val="left" w:pos="498"/>
        </w:tabs>
        <w:spacing w:before="156" w:after="0" w:line="278" w:lineRule="auto"/>
        <w:ind w:left="295" w:right="291" w:firstLine="0"/>
        <w:jc w:val="both"/>
        <w:rPr>
          <w:sz w:val="18"/>
        </w:rPr>
      </w:pPr>
      <w:r>
        <w:rPr>
          <w:sz w:val="16"/>
        </w:rPr>
        <w:t>Toto injekční čerpadlo by nemělo být používáno v hadičkových systémech, které mohou být vystaveny nadměrnému podtlaku nebo přetlaku, jako jsou například mimotělní oběhové smyčky. V takových případech nemůže injekční čerpadlo zaručit přesnost průtoku a správnou funkci alarmů.</w:t>
      </w:r>
    </w:p>
    <w:p>
      <w:pPr>
        <w:pStyle w:val="ListParagraph"/>
        <w:numPr>
          <w:ilvl w:val="0"/>
          <w:numId w:val="43"/>
        </w:numPr>
        <w:tabs>
          <w:tab w:val="left" w:pos="464"/>
        </w:tabs>
        <w:spacing w:before="155" w:after="0" w:line="240" w:lineRule="auto"/>
        <w:ind w:left="464" w:right="0" w:hanging="169"/>
        <w:jc w:val="both"/>
        <w:rPr>
          <w:sz w:val="18"/>
        </w:rPr>
      </w:pPr>
      <w:r>
        <w:rPr>
          <w:sz w:val="16"/>
        </w:rPr>
        <w:t xml:space="preserve">Toto </w:t>
      </w:r>
      <w:r>
        <w:rPr>
          <w:sz w:val="16"/>
        </w:rPr>
        <w:t xml:space="preserve">injekční </w:t>
      </w:r>
      <w:r>
        <w:rPr>
          <w:sz w:val="16"/>
        </w:rPr>
        <w:t xml:space="preserve">čerpadlo </w:t>
      </w:r>
      <w:r>
        <w:rPr>
          <w:sz w:val="16"/>
        </w:rPr>
        <w:t xml:space="preserve">by </w:t>
      </w:r>
      <w:r>
        <w:rPr>
          <w:sz w:val="16"/>
        </w:rPr>
        <w:t xml:space="preserve">nemělo </w:t>
      </w:r>
      <w:r>
        <w:rPr>
          <w:sz w:val="16"/>
        </w:rPr>
        <w:t xml:space="preserve">být </w:t>
      </w:r>
      <w:r>
        <w:rPr>
          <w:sz w:val="16"/>
        </w:rPr>
        <w:t xml:space="preserve">používáno k </w:t>
      </w:r>
      <w:r>
        <w:rPr>
          <w:spacing w:val="-2"/>
          <w:sz w:val="16"/>
        </w:rPr>
        <w:t xml:space="preserve">transfuzi </w:t>
      </w:r>
      <w:r>
        <w:rPr>
          <w:sz w:val="16"/>
        </w:rPr>
        <w:t>krve</w:t>
      </w:r>
      <w:r>
        <w:rPr>
          <w:spacing w:val="-2"/>
          <w:sz w:val="16"/>
        </w:rPr>
        <w:t>.</w:t>
      </w:r>
    </w:p>
    <w:p>
      <w:pPr>
        <w:pStyle w:val="ListParagraph"/>
        <w:spacing w:after="0" w:line="240" w:lineRule="auto"/>
        <w:jc w:val="both"/>
        <w:rPr>
          <w:sz w:val="18"/>
        </w:rPr>
        <w:sectPr>
          <w:pgSz w:w="8390" w:h="11910"/>
          <w:pgMar w:top="640" w:right="425" w:bottom="540" w:left="425" w:header="0" w:footer="342"/>
          <w:cols w:space="708"/>
        </w:sectPr>
      </w:pPr>
    </w:p>
    <w:p>
      <w:pPr>
        <w:pStyle w:val="ListParagraph"/>
        <w:numPr>
          <w:ilvl w:val="0"/>
          <w:numId w:val="43"/>
        </w:numPr>
        <w:tabs>
          <w:tab w:val="left" w:pos="526"/>
        </w:tabs>
        <w:spacing w:before="78" w:after="0" w:line="240" w:lineRule="auto"/>
        <w:ind w:left="526" w:right="0" w:hanging="231"/>
        <w:jc w:val="left"/>
        <w:rPr>
          <w:sz w:val="18"/>
        </w:rPr>
      </w:pPr>
      <w:r>
        <w:rPr>
          <w:sz w:val="16"/>
        </w:rPr>
        <w:t>N</w:t>
      </w:r>
      <w:r>
        <w:rPr>
          <w:sz w:val="16"/>
        </w:rPr>
        <w:t xml:space="preserve">epoužívejte </w:t>
      </w:r>
      <w:r>
        <w:rPr>
          <w:sz w:val="16"/>
        </w:rPr>
        <w:t xml:space="preserve">injekční </w:t>
      </w:r>
      <w:r>
        <w:rPr>
          <w:sz w:val="16"/>
        </w:rPr>
        <w:t xml:space="preserve">pumpu v blízkosti </w:t>
      </w:r>
      <w:r>
        <w:rPr>
          <w:sz w:val="16"/>
        </w:rPr>
        <w:t xml:space="preserve">hořlavých </w:t>
      </w:r>
      <w:r>
        <w:rPr>
          <w:sz w:val="16"/>
        </w:rPr>
        <w:t xml:space="preserve">kapalin </w:t>
      </w:r>
      <w:r>
        <w:rPr>
          <w:sz w:val="16"/>
        </w:rPr>
        <w:t xml:space="preserve">nebo </w:t>
      </w:r>
      <w:r>
        <w:rPr>
          <w:spacing w:val="-2"/>
          <w:sz w:val="16"/>
        </w:rPr>
        <w:t>plynů.</w:t>
      </w:r>
    </w:p>
    <w:p>
      <w:pPr>
        <w:pStyle w:val="ListParagraph"/>
        <w:numPr>
          <w:ilvl w:val="0"/>
          <w:numId w:val="43"/>
        </w:numPr>
        <w:tabs>
          <w:tab w:val="left" w:pos="558"/>
        </w:tabs>
        <w:spacing w:before="189" w:after="0" w:line="278" w:lineRule="auto"/>
        <w:ind w:left="295" w:right="292" w:firstLine="0"/>
        <w:jc w:val="both"/>
        <w:rPr>
          <w:sz w:val="18"/>
        </w:rPr>
      </w:pPr>
      <w:r>
        <w:rPr>
          <w:sz w:val="16"/>
        </w:rPr>
        <w:t xml:space="preserve">Stříkačkovou pumpu neskladujte ani nepoužívejte v prostředí s chemicky aktivními plyny, včetně dezinfekčních prostředků, ani ve vlhkém prostředí, protože by to mohlo poškodit vnitřní součásti </w:t>
      </w:r>
      <w:r>
        <w:rPr>
          <w:sz w:val="16"/>
        </w:rPr>
        <w:t>a vést k jejich degradaci nebo poškození.</w:t>
      </w:r>
    </w:p>
    <w:p>
      <w:pPr>
        <w:pStyle w:val="ListParagraph"/>
        <w:numPr>
          <w:ilvl w:val="0"/>
          <w:numId w:val="43"/>
        </w:numPr>
        <w:tabs>
          <w:tab w:val="left" w:pos="555"/>
        </w:tabs>
        <w:spacing w:before="155" w:after="0" w:line="240" w:lineRule="auto"/>
        <w:ind w:left="555" w:right="0" w:hanging="260"/>
        <w:jc w:val="left"/>
        <w:rPr>
          <w:sz w:val="18"/>
        </w:rPr>
      </w:pPr>
      <w:r>
        <w:rPr>
          <w:sz w:val="16"/>
        </w:rPr>
        <w:t xml:space="preserve">Toto </w:t>
      </w:r>
      <w:r>
        <w:rPr>
          <w:sz w:val="16"/>
        </w:rPr>
        <w:t xml:space="preserve">injekční </w:t>
      </w:r>
      <w:r>
        <w:rPr>
          <w:sz w:val="16"/>
        </w:rPr>
        <w:t xml:space="preserve">čerpadlo by </w:t>
      </w:r>
      <w:r>
        <w:rPr>
          <w:sz w:val="16"/>
        </w:rPr>
        <w:t xml:space="preserve">nemělo </w:t>
      </w:r>
      <w:r>
        <w:rPr>
          <w:sz w:val="16"/>
        </w:rPr>
        <w:t xml:space="preserve">být </w:t>
      </w:r>
      <w:r>
        <w:rPr>
          <w:sz w:val="16"/>
        </w:rPr>
        <w:t xml:space="preserve">napájeno </w:t>
      </w:r>
      <w:r>
        <w:rPr>
          <w:sz w:val="16"/>
        </w:rPr>
        <w:t xml:space="preserve">přímo </w:t>
      </w:r>
      <w:r>
        <w:rPr>
          <w:sz w:val="16"/>
        </w:rPr>
        <w:t xml:space="preserve">ze </w:t>
      </w:r>
      <w:r>
        <w:rPr>
          <w:spacing w:val="-2"/>
          <w:sz w:val="16"/>
        </w:rPr>
        <w:t xml:space="preserve">zdroje </w:t>
      </w:r>
      <w:r>
        <w:rPr>
          <w:sz w:val="16"/>
        </w:rPr>
        <w:t>energie vozidla</w:t>
      </w:r>
      <w:r>
        <w:rPr>
          <w:spacing w:val="-2"/>
          <w:sz w:val="16"/>
        </w:rPr>
        <w:t>.</w:t>
      </w:r>
    </w:p>
    <w:p>
      <w:pPr>
        <w:pStyle w:val="ListParagraph"/>
        <w:numPr>
          <w:ilvl w:val="0"/>
          <w:numId w:val="43"/>
        </w:numPr>
        <w:tabs>
          <w:tab w:val="left" w:pos="531"/>
        </w:tabs>
        <w:spacing w:before="189" w:after="0" w:line="278" w:lineRule="auto"/>
        <w:ind w:left="295" w:right="293" w:firstLine="0"/>
        <w:jc w:val="both"/>
        <w:rPr>
          <w:sz w:val="18"/>
        </w:rPr>
      </w:pPr>
      <w:r>
        <w:rPr>
          <w:sz w:val="16"/>
        </w:rPr>
        <w:t xml:space="preserve">Během </w:t>
      </w:r>
      <w:r>
        <w:rPr>
          <w:sz w:val="16"/>
        </w:rPr>
        <w:t xml:space="preserve">používání </w:t>
      </w:r>
      <w:r>
        <w:rPr>
          <w:sz w:val="16"/>
        </w:rPr>
        <w:t>se nespoléhejte</w:t>
      </w:r>
      <w:r>
        <w:rPr>
          <w:sz w:val="16"/>
        </w:rPr>
        <w:t xml:space="preserve"> výhradně </w:t>
      </w:r>
      <w:r>
        <w:rPr>
          <w:sz w:val="16"/>
        </w:rPr>
        <w:t xml:space="preserve">na </w:t>
      </w:r>
      <w:r>
        <w:rPr>
          <w:sz w:val="16"/>
        </w:rPr>
        <w:t>alarmový systém</w:t>
      </w:r>
      <w:r>
        <w:rPr>
          <w:sz w:val="16"/>
        </w:rPr>
        <w:t xml:space="preserve">; </w:t>
      </w:r>
      <w:r>
        <w:rPr>
          <w:sz w:val="16"/>
        </w:rPr>
        <w:t xml:space="preserve">zdravotnický personál </w:t>
      </w:r>
      <w:r>
        <w:rPr>
          <w:sz w:val="16"/>
        </w:rPr>
        <w:t xml:space="preserve">by měl </w:t>
      </w:r>
      <w:r>
        <w:rPr>
          <w:sz w:val="16"/>
        </w:rPr>
        <w:t>pravidelně provádět kontroly, aby předešel nehodám.</w:t>
      </w:r>
    </w:p>
    <w:p>
      <w:pPr>
        <w:pStyle w:val="ListParagraph"/>
        <w:numPr>
          <w:ilvl w:val="0"/>
          <w:numId w:val="43"/>
        </w:numPr>
        <w:tabs>
          <w:tab w:val="left" w:pos="531"/>
        </w:tabs>
        <w:spacing w:before="156" w:after="0" w:line="278" w:lineRule="auto"/>
        <w:ind w:left="295" w:right="291" w:firstLine="0"/>
        <w:jc w:val="both"/>
        <w:rPr>
          <w:sz w:val="18"/>
        </w:rPr>
      </w:pPr>
      <w:r>
        <w:rPr>
          <w:sz w:val="16"/>
        </w:rPr>
        <w:t xml:space="preserve">V případě jedné poruchy je maximální objem infuze rovný zbývajícímu </w:t>
      </w:r>
      <w:r>
        <w:rPr>
          <w:sz w:val="16"/>
        </w:rPr>
        <w:t xml:space="preserve">množství léku v injekční stříkačce; průběžně sledujte provoz systému a </w:t>
      </w:r>
      <w:r>
        <w:rPr>
          <w:sz w:val="16"/>
        </w:rPr>
        <w:t xml:space="preserve">během celého procesu </w:t>
      </w:r>
      <w:r>
        <w:rPr>
          <w:sz w:val="16"/>
        </w:rPr>
        <w:t xml:space="preserve">kontrolujte injekční stříkačku a infuzní </w:t>
      </w:r>
      <w:r>
        <w:rPr>
          <w:sz w:val="16"/>
        </w:rPr>
        <w:t>okruh.</w:t>
      </w:r>
    </w:p>
    <w:p>
      <w:pPr>
        <w:pStyle w:val="ListParagraph"/>
        <w:numPr>
          <w:ilvl w:val="0"/>
          <w:numId w:val="43"/>
        </w:numPr>
        <w:tabs>
          <w:tab w:val="left" w:pos="505"/>
        </w:tabs>
        <w:spacing w:before="156" w:after="0" w:line="278" w:lineRule="auto"/>
        <w:ind w:left="295" w:right="293" w:firstLine="0"/>
        <w:jc w:val="both"/>
        <w:rPr>
          <w:sz w:val="18"/>
        </w:rPr>
      </w:pPr>
      <w:r>
        <w:rPr>
          <w:sz w:val="16"/>
        </w:rPr>
        <w:t>Před zahájením infuze musí obsluha zajistit, aby parametry infuze nastavené na injekční pumpě odpovídaly lékařským pokynům.</w:t>
      </w:r>
    </w:p>
    <w:p>
      <w:pPr>
        <w:pStyle w:val="ListParagraph"/>
        <w:numPr>
          <w:ilvl w:val="0"/>
          <w:numId w:val="43"/>
        </w:numPr>
        <w:tabs>
          <w:tab w:val="left" w:pos="526"/>
        </w:tabs>
        <w:spacing w:before="156" w:after="0" w:line="278" w:lineRule="auto"/>
        <w:ind w:left="295" w:right="375" w:firstLine="0"/>
        <w:jc w:val="left"/>
        <w:rPr>
          <w:sz w:val="18"/>
        </w:rPr>
      </w:pPr>
      <w:r>
        <w:rPr>
          <w:sz w:val="16"/>
        </w:rPr>
        <w:t xml:space="preserve">Používejte </w:t>
      </w:r>
      <w:r>
        <w:rPr>
          <w:sz w:val="16"/>
        </w:rPr>
        <w:t xml:space="preserve">pouze </w:t>
      </w:r>
      <w:r>
        <w:rPr>
          <w:sz w:val="16"/>
        </w:rPr>
        <w:t xml:space="preserve">infuzní </w:t>
      </w:r>
      <w:r>
        <w:rPr>
          <w:sz w:val="16"/>
        </w:rPr>
        <w:t>hadičky</w:t>
      </w:r>
      <w:r>
        <w:rPr>
          <w:sz w:val="16"/>
        </w:rPr>
        <w:t xml:space="preserve">, které </w:t>
      </w:r>
      <w:r>
        <w:rPr>
          <w:sz w:val="16"/>
        </w:rPr>
        <w:t xml:space="preserve">splňují </w:t>
      </w:r>
      <w:r>
        <w:rPr>
          <w:sz w:val="16"/>
        </w:rPr>
        <w:t xml:space="preserve">příslušné </w:t>
      </w:r>
      <w:r>
        <w:rPr>
          <w:sz w:val="16"/>
        </w:rPr>
        <w:t xml:space="preserve">právní a </w:t>
      </w:r>
      <w:r>
        <w:rPr>
          <w:sz w:val="16"/>
        </w:rPr>
        <w:t xml:space="preserve">regulační </w:t>
      </w:r>
      <w:r>
        <w:rPr>
          <w:sz w:val="16"/>
        </w:rPr>
        <w:t xml:space="preserve">požadavky </w:t>
      </w:r>
      <w:r>
        <w:rPr>
          <w:sz w:val="16"/>
        </w:rPr>
        <w:t xml:space="preserve">a </w:t>
      </w:r>
      <w:r>
        <w:rPr>
          <w:sz w:val="16"/>
        </w:rPr>
        <w:t>jsou opatřeny platnými certifikáty o registraci zdravotnických prostředků, aby byla zajištěna přesnost infuze a správná funkce alarmu.</w:t>
      </w:r>
    </w:p>
    <w:p>
      <w:pPr>
        <w:pStyle w:val="ListParagraph"/>
        <w:numPr>
          <w:ilvl w:val="0"/>
          <w:numId w:val="43"/>
        </w:numPr>
        <w:tabs>
          <w:tab w:val="left" w:pos="519"/>
        </w:tabs>
        <w:spacing w:before="155" w:after="0" w:line="240" w:lineRule="auto"/>
        <w:ind w:left="519" w:right="0" w:hanging="224"/>
        <w:jc w:val="left"/>
        <w:rPr>
          <w:sz w:val="18"/>
        </w:rPr>
      </w:pPr>
      <w:r>
        <w:rPr>
          <w:sz w:val="16"/>
        </w:rPr>
        <w:t xml:space="preserve">Toto </w:t>
      </w:r>
      <w:r>
        <w:rPr>
          <w:sz w:val="16"/>
        </w:rPr>
        <w:t xml:space="preserve">zařízení </w:t>
      </w:r>
      <w:r>
        <w:rPr>
          <w:sz w:val="16"/>
        </w:rPr>
        <w:t xml:space="preserve">nemodifikujte </w:t>
      </w:r>
      <w:r>
        <w:rPr>
          <w:sz w:val="16"/>
        </w:rPr>
        <w:t xml:space="preserve">bez </w:t>
      </w:r>
      <w:r>
        <w:rPr>
          <w:spacing w:val="-2"/>
          <w:sz w:val="16"/>
        </w:rPr>
        <w:t xml:space="preserve">souhlasu </w:t>
      </w:r>
      <w:r>
        <w:rPr>
          <w:sz w:val="16"/>
        </w:rPr>
        <w:t>výrobce</w:t>
      </w:r>
      <w:r>
        <w:rPr>
          <w:spacing w:val="-2"/>
          <w:sz w:val="16"/>
        </w:rPr>
        <w:t>.</w:t>
      </w:r>
    </w:p>
    <w:p>
      <w:pPr>
        <w:pStyle w:val="ListParagraph"/>
        <w:numPr>
          <w:ilvl w:val="0"/>
          <w:numId w:val="43"/>
        </w:numPr>
        <w:tabs>
          <w:tab w:val="left" w:pos="503"/>
        </w:tabs>
        <w:spacing w:before="189" w:after="0" w:line="278" w:lineRule="auto"/>
        <w:ind w:left="295" w:right="293" w:firstLine="0"/>
        <w:jc w:val="left"/>
        <w:rPr>
          <w:sz w:val="18"/>
        </w:rPr>
      </w:pPr>
      <w:r>
        <w:rPr>
          <w:sz w:val="16"/>
        </w:rPr>
        <w:t>Aby se snížilo riziko úrazu elektrickým proudem, připojujte toto zařízení výhradně k napájecímu zdroji, který obsahuje ochranné uzemnění.</w:t>
      </w:r>
    </w:p>
    <w:p>
      <w:pPr>
        <w:pStyle w:val="ListParagraph"/>
        <w:numPr>
          <w:ilvl w:val="0"/>
          <w:numId w:val="43"/>
        </w:numPr>
        <w:tabs>
          <w:tab w:val="left" w:pos="505"/>
        </w:tabs>
        <w:spacing w:before="156" w:after="0" w:line="278" w:lineRule="auto"/>
        <w:ind w:left="295" w:right="291" w:firstLine="0"/>
        <w:jc w:val="left"/>
        <w:rPr>
          <w:sz w:val="18"/>
        </w:rPr>
      </w:pPr>
      <w:r>
        <w:rPr>
          <w:sz w:val="16"/>
        </w:rPr>
        <w:t xml:space="preserve">Aby </w:t>
      </w:r>
      <w:r>
        <w:rPr>
          <w:sz w:val="16"/>
        </w:rPr>
        <w:t xml:space="preserve">se předešlo </w:t>
      </w:r>
      <w:r>
        <w:rPr>
          <w:sz w:val="16"/>
        </w:rPr>
        <w:t xml:space="preserve">nepřijatelným </w:t>
      </w:r>
      <w:r>
        <w:rPr>
          <w:sz w:val="16"/>
        </w:rPr>
        <w:t xml:space="preserve">rizikům, </w:t>
      </w:r>
      <w:r>
        <w:rPr>
          <w:sz w:val="16"/>
        </w:rPr>
        <w:t xml:space="preserve">vždy </w:t>
      </w:r>
      <w:r>
        <w:rPr>
          <w:sz w:val="16"/>
        </w:rPr>
        <w:t xml:space="preserve">se ujistěte, </w:t>
      </w:r>
      <w:r>
        <w:rPr>
          <w:sz w:val="16"/>
        </w:rPr>
        <w:t xml:space="preserve">že </w:t>
      </w:r>
      <w:r>
        <w:rPr>
          <w:sz w:val="16"/>
        </w:rPr>
        <w:t xml:space="preserve">je </w:t>
      </w:r>
      <w:r>
        <w:rPr>
          <w:sz w:val="16"/>
        </w:rPr>
        <w:t xml:space="preserve">zařízení </w:t>
      </w:r>
      <w:r>
        <w:rPr>
          <w:sz w:val="16"/>
        </w:rPr>
        <w:t xml:space="preserve">připojeno </w:t>
      </w:r>
      <w:r>
        <w:rPr>
          <w:sz w:val="16"/>
        </w:rPr>
        <w:t xml:space="preserve">ke </w:t>
      </w:r>
      <w:r>
        <w:rPr>
          <w:sz w:val="16"/>
        </w:rPr>
        <w:t xml:space="preserve">spolehlivému </w:t>
      </w:r>
      <w:r>
        <w:rPr>
          <w:sz w:val="16"/>
        </w:rPr>
        <w:t xml:space="preserve">zdroji </w:t>
      </w:r>
      <w:r>
        <w:rPr>
          <w:sz w:val="16"/>
        </w:rPr>
        <w:t xml:space="preserve">napájení, </w:t>
      </w:r>
      <w:r>
        <w:rPr>
          <w:sz w:val="16"/>
        </w:rPr>
        <w:t>protože výpadek napájení může mít vážné následky.</w:t>
      </w:r>
    </w:p>
    <w:p>
      <w:pPr>
        <w:pStyle w:val="ListParagraph"/>
        <w:numPr>
          <w:ilvl w:val="0"/>
          <w:numId w:val="43"/>
        </w:numPr>
        <w:tabs>
          <w:tab w:val="left" w:pos="545"/>
        </w:tabs>
        <w:spacing w:before="156" w:after="0" w:line="278" w:lineRule="auto"/>
        <w:ind w:left="295" w:right="292" w:firstLine="0"/>
        <w:jc w:val="left"/>
        <w:rPr>
          <w:sz w:val="18"/>
        </w:rPr>
      </w:pPr>
      <w:r>
        <w:rPr>
          <w:sz w:val="16"/>
        </w:rPr>
        <w:t xml:space="preserve">Pacienti by se měli zdržet pokusů o údržbu nebo servis injekčního čerpadla během jeho </w:t>
      </w:r>
      <w:r>
        <w:rPr>
          <w:spacing w:val="-4"/>
          <w:sz w:val="16"/>
        </w:rPr>
        <w:t>používání.</w:t>
      </w:r>
    </w:p>
    <w:p>
      <w:pPr>
        <w:pStyle w:val="ListParagraph"/>
        <w:numPr>
          <w:ilvl w:val="0"/>
          <w:numId w:val="43"/>
        </w:numPr>
        <w:tabs>
          <w:tab w:val="left" w:pos="540"/>
        </w:tabs>
        <w:spacing w:before="156" w:after="0" w:line="278" w:lineRule="auto"/>
        <w:ind w:left="295" w:right="292" w:firstLine="0"/>
        <w:jc w:val="left"/>
        <w:rPr>
          <w:sz w:val="18"/>
        </w:rPr>
      </w:pPr>
      <w:r>
        <w:rPr>
          <w:sz w:val="16"/>
        </w:rPr>
        <w:t xml:space="preserve">Vyhněte se používání materiálů </w:t>
      </w:r>
      <w:r>
        <w:rPr>
          <w:sz w:val="16"/>
        </w:rPr>
        <w:t xml:space="preserve">nebo látek </w:t>
      </w:r>
      <w:r>
        <w:rPr>
          <w:sz w:val="16"/>
        </w:rPr>
        <w:t xml:space="preserve">neznámého složení, které přicházejí do styku s pacienty nebo </w:t>
      </w:r>
      <w:r>
        <w:rPr>
          <w:spacing w:val="-2"/>
          <w:sz w:val="16"/>
        </w:rPr>
        <w:t>obsluhou.</w:t>
      </w:r>
    </w:p>
    <w:p>
      <w:pPr>
        <w:pStyle w:val="ListParagraph"/>
        <w:numPr>
          <w:ilvl w:val="0"/>
          <w:numId w:val="43"/>
        </w:numPr>
        <w:tabs>
          <w:tab w:val="left" w:pos="589"/>
        </w:tabs>
        <w:spacing w:before="156" w:after="0" w:line="278" w:lineRule="auto"/>
        <w:ind w:left="295" w:right="291" w:firstLine="0"/>
        <w:jc w:val="left"/>
        <w:rPr>
          <w:sz w:val="18"/>
        </w:rPr>
      </w:pPr>
      <w:r>
        <w:rPr>
          <w:sz w:val="16"/>
        </w:rPr>
        <w:t xml:space="preserve">Výměnu měkkého napájecího kabelu by měl provádět servisní personál pomocí </w:t>
      </w:r>
      <w:r>
        <w:rPr>
          <w:sz w:val="16"/>
        </w:rPr>
        <w:t>vhodného měkkého napájecího kabelu.</w:t>
      </w:r>
    </w:p>
    <w:p>
      <w:pPr>
        <w:pStyle w:val="ListParagraph"/>
        <w:numPr>
          <w:ilvl w:val="0"/>
          <w:numId w:val="43"/>
        </w:numPr>
        <w:tabs>
          <w:tab w:val="left" w:pos="547"/>
        </w:tabs>
        <w:spacing w:before="155" w:after="0" w:line="278" w:lineRule="auto"/>
        <w:ind w:left="295" w:right="293" w:firstLine="0"/>
        <w:jc w:val="left"/>
        <w:rPr>
          <w:sz w:val="18"/>
        </w:rPr>
      </w:pPr>
      <w:r>
        <w:rPr>
          <w:sz w:val="16"/>
        </w:rPr>
        <w:t xml:space="preserve">Uvědomte si, že zvukové výstražné signály, které jsou méně slyšitelné než okolní hluk, mohou </w:t>
      </w:r>
      <w:r>
        <w:rPr>
          <w:sz w:val="16"/>
        </w:rPr>
        <w:t xml:space="preserve">obsluze </w:t>
      </w:r>
      <w:r>
        <w:rPr>
          <w:sz w:val="16"/>
        </w:rPr>
        <w:t xml:space="preserve">bránit </w:t>
      </w:r>
      <w:r>
        <w:rPr>
          <w:sz w:val="16"/>
        </w:rPr>
        <w:t>v rozpoznání výstražného stavu.</w:t>
      </w:r>
    </w:p>
    <w:p>
      <w:pPr>
        <w:pStyle w:val="BodyText"/>
        <w:spacing w:before="175"/>
        <w:ind w:left="0"/>
      </w:pPr>
    </w:p>
    <w:p>
      <w:pPr>
        <w:pStyle w:val="Heading2"/>
      </w:pPr>
      <w:r>
        <w:rPr>
          <w:spacing w:val="-2"/>
          <w:sz w:val="16"/>
        </w:rPr>
        <w:t>Bezpečnostní opatření</w:t>
      </w:r>
    </w:p>
    <w:p>
      <w:pPr>
        <w:pStyle w:val="BodyText"/>
        <w:spacing w:before="117" w:line="278" w:lineRule="auto"/>
        <w:ind w:right="353"/>
      </w:pPr>
      <w:r>
        <w:rPr>
          <w:b/>
          <w:sz w:val="16"/>
        </w:rPr>
        <w:t xml:space="preserve">Upozornění na bezpečnostní opatření </w:t>
      </w:r>
      <w:r>
        <w:rPr>
          <w:sz w:val="16"/>
        </w:rPr>
        <w:t>znamenají, že jejich nedodržení může vést k nebezpečí, které může mít za následek zranění osob nebo poškození majetku.</w:t>
      </w:r>
    </w:p>
    <w:p>
      <w:pPr>
        <w:pStyle w:val="BodyText"/>
        <w:spacing w:after="0" w:line="278" w:lineRule="auto"/>
        <w:sectPr>
          <w:pgSz w:w="8390" w:h="11910"/>
          <w:pgMar w:top="660" w:right="425" w:bottom="540" w:left="425" w:header="0" w:footer="342"/>
          <w:cols w:space="708"/>
        </w:sectPr>
      </w:pPr>
    </w:p>
    <w:p>
      <w:pPr>
        <w:pStyle w:val="ListParagraph"/>
        <w:numPr>
          <w:ilvl w:val="0"/>
          <w:numId w:val="42"/>
        </w:numPr>
        <w:tabs>
          <w:tab w:val="left" w:pos="528"/>
        </w:tabs>
        <w:spacing w:before="78" w:after="0" w:line="278" w:lineRule="auto"/>
        <w:ind w:left="295" w:right="293" w:firstLine="0"/>
        <w:jc w:val="both"/>
        <w:rPr>
          <w:sz w:val="18"/>
        </w:rPr>
      </w:pPr>
      <w:r>
        <w:rPr>
          <w:sz w:val="16"/>
        </w:rPr>
        <w:t xml:space="preserve">Před </w:t>
      </w:r>
      <w:r>
        <w:rPr>
          <w:sz w:val="16"/>
        </w:rPr>
        <w:t xml:space="preserve">použitím </w:t>
      </w:r>
      <w:r>
        <w:rPr>
          <w:sz w:val="16"/>
        </w:rPr>
        <w:t>zkontrolujte</w:t>
      </w:r>
      <w:r>
        <w:rPr>
          <w:sz w:val="16"/>
        </w:rPr>
        <w:t xml:space="preserve">, </w:t>
      </w:r>
      <w:r>
        <w:rPr>
          <w:sz w:val="16"/>
        </w:rPr>
        <w:t xml:space="preserve">zda </w:t>
      </w:r>
      <w:r>
        <w:rPr>
          <w:sz w:val="16"/>
        </w:rPr>
        <w:t xml:space="preserve">injekční </w:t>
      </w:r>
      <w:r>
        <w:rPr>
          <w:sz w:val="16"/>
        </w:rPr>
        <w:t xml:space="preserve">pumpa </w:t>
      </w:r>
      <w:r>
        <w:rPr>
          <w:sz w:val="16"/>
        </w:rPr>
        <w:t xml:space="preserve">funguje </w:t>
      </w:r>
      <w:r>
        <w:rPr>
          <w:sz w:val="16"/>
        </w:rPr>
        <w:t xml:space="preserve">správně. </w:t>
      </w:r>
      <w:r>
        <w:rPr>
          <w:sz w:val="16"/>
        </w:rPr>
        <w:t xml:space="preserve">Pokud </w:t>
      </w:r>
      <w:r>
        <w:rPr>
          <w:sz w:val="16"/>
        </w:rPr>
        <w:t xml:space="preserve">zjistíte </w:t>
      </w:r>
      <w:r>
        <w:rPr>
          <w:sz w:val="16"/>
        </w:rPr>
        <w:t xml:space="preserve">jakékoli </w:t>
      </w:r>
      <w:r>
        <w:rPr>
          <w:sz w:val="16"/>
        </w:rPr>
        <w:t>abnormality</w:t>
      </w:r>
      <w:r>
        <w:rPr>
          <w:sz w:val="16"/>
        </w:rPr>
        <w:t xml:space="preserve">, </w:t>
      </w:r>
      <w:r>
        <w:rPr>
          <w:sz w:val="16"/>
        </w:rPr>
        <w:t xml:space="preserve">okamžitě </w:t>
      </w:r>
      <w:r>
        <w:rPr>
          <w:sz w:val="16"/>
        </w:rPr>
        <w:t xml:space="preserve">přestaňte </w:t>
      </w:r>
      <w:r>
        <w:rPr>
          <w:sz w:val="16"/>
        </w:rPr>
        <w:t xml:space="preserve">zařízení </w:t>
      </w:r>
      <w:r>
        <w:rPr>
          <w:sz w:val="16"/>
        </w:rPr>
        <w:t xml:space="preserve">používat a </w:t>
      </w:r>
      <w:r>
        <w:rPr>
          <w:sz w:val="16"/>
        </w:rPr>
        <w:t xml:space="preserve">kontaktujte </w:t>
      </w:r>
      <w:r>
        <w:rPr>
          <w:sz w:val="16"/>
        </w:rPr>
        <w:t xml:space="preserve">zákaznický </w:t>
      </w:r>
      <w:r>
        <w:rPr>
          <w:sz w:val="16"/>
        </w:rPr>
        <w:t xml:space="preserve">servis. </w:t>
      </w:r>
      <w:r>
        <w:rPr>
          <w:sz w:val="16"/>
        </w:rPr>
        <w:t xml:space="preserve">Kromě toho, </w:t>
      </w:r>
      <w:r>
        <w:rPr>
          <w:sz w:val="16"/>
        </w:rPr>
        <w:t xml:space="preserve">aby </w:t>
      </w:r>
      <w:r>
        <w:rPr>
          <w:sz w:val="16"/>
        </w:rPr>
        <w:t>se zabránilo poruchám nebo chybným operacím v důsledku zbytků léků nebo infiltrace, injekční pumpu po použití vyčistěte a řádně uložte.</w:t>
      </w:r>
    </w:p>
    <w:p>
      <w:pPr>
        <w:pStyle w:val="ListParagraph"/>
        <w:numPr>
          <w:ilvl w:val="0"/>
          <w:numId w:val="42"/>
        </w:numPr>
        <w:tabs>
          <w:tab w:val="left" w:pos="534"/>
        </w:tabs>
        <w:spacing w:before="155" w:after="0" w:line="278" w:lineRule="auto"/>
        <w:ind w:left="295" w:right="291" w:firstLine="0"/>
        <w:jc w:val="both"/>
        <w:rPr>
          <w:sz w:val="18"/>
        </w:rPr>
      </w:pPr>
      <w:r>
        <w:rPr>
          <w:sz w:val="16"/>
        </w:rPr>
        <w:t>Před prvním použitím po zakoupení produktu nebo pokud nebyl produkt delší dobu používán, připojte injekční pumpu k napájení střídavým proudem a nabíjejte ji, zatímco je zapnutá. Pokud není dostatečně nabitá, injekční pumpa nemusí v případě výpadku proudu pokračovat v provozu na vestavěnou baterii.</w:t>
      </w:r>
    </w:p>
    <w:p>
      <w:pPr>
        <w:pStyle w:val="ListParagraph"/>
        <w:numPr>
          <w:ilvl w:val="0"/>
          <w:numId w:val="42"/>
        </w:numPr>
        <w:tabs>
          <w:tab w:val="left" w:pos="519"/>
        </w:tabs>
        <w:spacing w:before="156" w:after="0" w:line="278" w:lineRule="auto"/>
        <w:ind w:left="295" w:right="293" w:firstLine="0"/>
        <w:jc w:val="both"/>
        <w:rPr>
          <w:sz w:val="18"/>
        </w:rPr>
      </w:pPr>
      <w:r>
        <w:rPr>
          <w:sz w:val="16"/>
        </w:rPr>
        <w:t xml:space="preserve">Při provozu v blízkosti </w:t>
      </w:r>
      <w:r>
        <w:rPr>
          <w:sz w:val="16"/>
        </w:rPr>
        <w:t xml:space="preserve">elektrochirurgického </w:t>
      </w:r>
      <w:r>
        <w:rPr>
          <w:sz w:val="16"/>
        </w:rPr>
        <w:t xml:space="preserve">zařízení </w:t>
      </w:r>
      <w:r>
        <w:rPr>
          <w:sz w:val="16"/>
        </w:rPr>
        <w:t xml:space="preserve">si uvědomte </w:t>
      </w:r>
      <w:r>
        <w:rPr>
          <w:sz w:val="16"/>
        </w:rPr>
        <w:t xml:space="preserve">možnost </w:t>
      </w:r>
      <w:r>
        <w:rPr>
          <w:sz w:val="16"/>
        </w:rPr>
        <w:t>vysokofrekvenčního rušení z elektrochirurgické jednotky</w:t>
      </w:r>
      <w:r>
        <w:rPr>
          <w:sz w:val="16"/>
        </w:rPr>
        <w:t xml:space="preserve">, </w:t>
      </w:r>
      <w:r>
        <w:rPr>
          <w:sz w:val="16"/>
        </w:rPr>
        <w:t xml:space="preserve">které </w:t>
      </w:r>
      <w:r>
        <w:rPr>
          <w:sz w:val="16"/>
        </w:rPr>
        <w:t xml:space="preserve">může způsobit poruchy injekční pumpy. Při </w:t>
      </w:r>
      <w:r>
        <w:rPr>
          <w:sz w:val="16"/>
        </w:rPr>
        <w:t>současném použití s lékařským elektrochirurgickým zařízením před použitím proveďte následující kroky a opatření:</w:t>
      </w:r>
    </w:p>
    <w:p>
      <w:pPr>
        <w:pStyle w:val="ListParagraph"/>
        <w:numPr>
          <w:ilvl w:val="1"/>
          <w:numId w:val="42"/>
        </w:numPr>
        <w:tabs>
          <w:tab w:val="left" w:pos="825"/>
        </w:tabs>
        <w:spacing w:before="155" w:after="0" w:line="278" w:lineRule="auto"/>
        <w:ind w:left="503" w:right="292" w:firstLine="0"/>
        <w:jc w:val="left"/>
        <w:rPr>
          <w:sz w:val="18"/>
        </w:rPr>
      </w:pPr>
      <w:r>
        <w:rPr>
          <w:sz w:val="16"/>
        </w:rPr>
        <w:t xml:space="preserve">Nepoužívejte </w:t>
      </w:r>
      <w:r>
        <w:rPr>
          <w:sz w:val="16"/>
        </w:rPr>
        <w:t xml:space="preserve">injekční </w:t>
      </w:r>
      <w:r>
        <w:rPr>
          <w:sz w:val="16"/>
        </w:rPr>
        <w:t xml:space="preserve">pumpu </w:t>
      </w:r>
      <w:r>
        <w:rPr>
          <w:sz w:val="16"/>
        </w:rPr>
        <w:t xml:space="preserve">současně </w:t>
      </w:r>
      <w:r>
        <w:rPr>
          <w:sz w:val="16"/>
        </w:rPr>
        <w:t xml:space="preserve">se </w:t>
      </w:r>
      <w:r>
        <w:rPr>
          <w:sz w:val="16"/>
        </w:rPr>
        <w:t xml:space="preserve">zastaralými </w:t>
      </w:r>
      <w:r>
        <w:rPr>
          <w:sz w:val="16"/>
        </w:rPr>
        <w:t xml:space="preserve">(vakuovými </w:t>
      </w:r>
      <w:r>
        <w:rPr>
          <w:sz w:val="16"/>
        </w:rPr>
        <w:t xml:space="preserve">trubicovými) </w:t>
      </w:r>
      <w:r>
        <w:rPr>
          <w:sz w:val="16"/>
        </w:rPr>
        <w:t>elektrochirurgickými jednotkami.</w:t>
      </w:r>
    </w:p>
    <w:p>
      <w:pPr>
        <w:pStyle w:val="ListParagraph"/>
        <w:numPr>
          <w:ilvl w:val="1"/>
          <w:numId w:val="42"/>
        </w:numPr>
        <w:tabs>
          <w:tab w:val="left" w:pos="765"/>
        </w:tabs>
        <w:spacing w:before="156" w:after="0" w:line="278" w:lineRule="auto"/>
        <w:ind w:left="503" w:right="295" w:firstLine="0"/>
        <w:jc w:val="left"/>
        <w:rPr>
          <w:sz w:val="18"/>
        </w:rPr>
      </w:pPr>
      <w:r>
        <w:rPr>
          <w:sz w:val="16"/>
        </w:rPr>
        <w:t>Dodržujte minimální vzdálenost 25 centimetrů mezi napájecím kabelem nebo hlavním tělem elektrochirurgického přístroje a injekční pumpou.</w:t>
      </w:r>
    </w:p>
    <w:p>
      <w:pPr>
        <w:pStyle w:val="ListParagraph"/>
        <w:numPr>
          <w:ilvl w:val="1"/>
          <w:numId w:val="42"/>
        </w:numPr>
        <w:tabs>
          <w:tab w:val="left" w:pos="768"/>
        </w:tabs>
        <w:spacing w:before="156" w:after="0" w:line="278" w:lineRule="auto"/>
        <w:ind w:left="503" w:right="294" w:firstLine="0"/>
        <w:jc w:val="left"/>
        <w:rPr>
          <w:sz w:val="18"/>
        </w:rPr>
      </w:pPr>
      <w:r>
        <w:rPr>
          <w:sz w:val="16"/>
        </w:rPr>
        <w:t>Napájecí kabely elektrochirurgického přístroje a injekční pumpy by měly pocházet z oddělených rozvodných desek a být účinně uzemněny.</w:t>
      </w:r>
    </w:p>
    <w:p>
      <w:pPr>
        <w:pStyle w:val="ListParagraph"/>
        <w:numPr>
          <w:ilvl w:val="0"/>
          <w:numId w:val="42"/>
        </w:numPr>
        <w:tabs>
          <w:tab w:val="left" w:pos="533"/>
        </w:tabs>
        <w:spacing w:before="156" w:after="0" w:line="278" w:lineRule="auto"/>
        <w:ind w:left="295" w:right="291" w:firstLine="0"/>
        <w:jc w:val="both"/>
        <w:rPr>
          <w:sz w:val="18"/>
        </w:rPr>
      </w:pPr>
      <w:r>
        <w:rPr>
          <w:sz w:val="16"/>
        </w:rPr>
        <w:t xml:space="preserve">Nepoužívejte mobilní telefony, bezdrátová zařízení ani kardiodefibrilátory ve vzdálenosti do jednoho metru od injekční pumpy. </w:t>
      </w:r>
      <w:r>
        <w:rPr>
          <w:sz w:val="16"/>
        </w:rPr>
        <w:t>Vysokofrekvenční rušivé signály během komunikace mohou způsobit poruchu pumpy. Zajistěte, aby byla injekční pumpa uzemněna, a nepoužívejte k napájení injekční pumpy elektrické zásuvky pro výše uvedená zařízení.</w:t>
      </w:r>
    </w:p>
    <w:p>
      <w:pPr>
        <w:pStyle w:val="ListParagraph"/>
        <w:numPr>
          <w:ilvl w:val="0"/>
          <w:numId w:val="42"/>
        </w:numPr>
        <w:tabs>
          <w:tab w:val="left" w:pos="516"/>
        </w:tabs>
        <w:spacing w:before="155" w:after="0" w:line="278" w:lineRule="auto"/>
        <w:ind w:left="295" w:right="291" w:firstLine="0"/>
        <w:jc w:val="both"/>
        <w:rPr>
          <w:sz w:val="18"/>
        </w:rPr>
      </w:pPr>
      <w:r>
        <w:rPr>
          <w:sz w:val="16"/>
        </w:rPr>
        <w:t>Tento produkt nesmí být používán v prostorách s radiologickým zařízením, zařízením pro magnetickou rezonanci nebo v prostorách, kde se provádí hyperbarická kyslíková terapie.</w:t>
      </w:r>
    </w:p>
    <w:p>
      <w:pPr>
        <w:pStyle w:val="ListParagraph"/>
        <w:numPr>
          <w:ilvl w:val="0"/>
          <w:numId w:val="42"/>
        </w:numPr>
        <w:tabs>
          <w:tab w:val="left" w:pos="491"/>
        </w:tabs>
        <w:spacing w:before="156" w:after="0" w:line="278" w:lineRule="auto"/>
        <w:ind w:left="295" w:right="250" w:firstLine="0"/>
        <w:jc w:val="both"/>
        <w:rPr>
          <w:sz w:val="18"/>
        </w:rPr>
      </w:pPr>
      <w:r>
        <w:rPr>
          <w:sz w:val="16"/>
        </w:rPr>
        <w:t xml:space="preserve">Nemačkejte </w:t>
      </w:r>
      <w:r>
        <w:rPr>
          <w:sz w:val="16"/>
        </w:rPr>
        <w:t xml:space="preserve">tlačítka </w:t>
      </w:r>
      <w:r>
        <w:rPr>
          <w:sz w:val="16"/>
        </w:rPr>
        <w:t xml:space="preserve">ani </w:t>
      </w:r>
      <w:r>
        <w:rPr>
          <w:sz w:val="16"/>
        </w:rPr>
        <w:t xml:space="preserve">jiné </w:t>
      </w:r>
      <w:r>
        <w:rPr>
          <w:sz w:val="16"/>
        </w:rPr>
        <w:t xml:space="preserve">součásti </w:t>
      </w:r>
      <w:r>
        <w:rPr>
          <w:sz w:val="16"/>
        </w:rPr>
        <w:t xml:space="preserve">ostrými </w:t>
      </w:r>
      <w:r>
        <w:rPr>
          <w:sz w:val="16"/>
        </w:rPr>
        <w:t>předměty</w:t>
      </w:r>
      <w:r>
        <w:rPr>
          <w:sz w:val="16"/>
        </w:rPr>
        <w:t xml:space="preserve">, </w:t>
      </w:r>
      <w:r>
        <w:rPr>
          <w:sz w:val="16"/>
        </w:rPr>
        <w:t xml:space="preserve">jako jsou </w:t>
      </w:r>
      <w:r>
        <w:rPr>
          <w:sz w:val="16"/>
        </w:rPr>
        <w:t xml:space="preserve">hroty </w:t>
      </w:r>
      <w:r>
        <w:rPr>
          <w:sz w:val="16"/>
        </w:rPr>
        <w:t xml:space="preserve">pera </w:t>
      </w:r>
      <w:r>
        <w:rPr>
          <w:sz w:val="16"/>
        </w:rPr>
        <w:t xml:space="preserve">nebo </w:t>
      </w:r>
      <w:r>
        <w:rPr>
          <w:sz w:val="16"/>
        </w:rPr>
        <w:t>nehty, protože by to mohlo způsobit předčasné opotřebení nebo poškození.</w:t>
      </w:r>
    </w:p>
    <w:p>
      <w:pPr>
        <w:pStyle w:val="ListParagraph"/>
        <w:numPr>
          <w:ilvl w:val="0"/>
          <w:numId w:val="42"/>
        </w:numPr>
        <w:tabs>
          <w:tab w:val="left" w:pos="528"/>
        </w:tabs>
        <w:spacing w:before="156" w:after="0" w:line="278" w:lineRule="auto"/>
        <w:ind w:left="295" w:right="295" w:firstLine="0"/>
        <w:jc w:val="both"/>
        <w:rPr>
          <w:sz w:val="18"/>
        </w:rPr>
      </w:pPr>
      <w:r>
        <w:rPr>
          <w:sz w:val="16"/>
        </w:rPr>
        <w:t xml:space="preserve">Udržujte </w:t>
      </w:r>
      <w:r>
        <w:rPr>
          <w:sz w:val="16"/>
        </w:rPr>
        <w:t xml:space="preserve">vhodnou </w:t>
      </w:r>
      <w:r>
        <w:rPr>
          <w:sz w:val="16"/>
        </w:rPr>
        <w:t xml:space="preserve">vzdálenost </w:t>
      </w:r>
      <w:r>
        <w:rPr>
          <w:sz w:val="16"/>
        </w:rPr>
        <w:t xml:space="preserve">mezi </w:t>
      </w:r>
      <w:r>
        <w:rPr>
          <w:sz w:val="16"/>
        </w:rPr>
        <w:t xml:space="preserve">infuzní </w:t>
      </w:r>
      <w:r>
        <w:rPr>
          <w:sz w:val="16"/>
        </w:rPr>
        <w:t xml:space="preserve">hadičkou, </w:t>
      </w:r>
      <w:r>
        <w:rPr>
          <w:sz w:val="16"/>
        </w:rPr>
        <w:t xml:space="preserve">injekční </w:t>
      </w:r>
      <w:r>
        <w:rPr>
          <w:sz w:val="16"/>
        </w:rPr>
        <w:t xml:space="preserve">pumpou </w:t>
      </w:r>
      <w:r>
        <w:rPr>
          <w:sz w:val="16"/>
        </w:rPr>
        <w:t xml:space="preserve">a </w:t>
      </w:r>
      <w:r>
        <w:rPr>
          <w:sz w:val="16"/>
        </w:rPr>
        <w:t xml:space="preserve">zásuvkami </w:t>
      </w:r>
      <w:r>
        <w:rPr>
          <w:sz w:val="16"/>
        </w:rPr>
        <w:t xml:space="preserve">střídavého/stejnosměrného </w:t>
      </w:r>
      <w:r>
        <w:rPr>
          <w:sz w:val="16"/>
        </w:rPr>
        <w:t>proudu</w:t>
      </w:r>
      <w:r>
        <w:rPr>
          <w:sz w:val="16"/>
        </w:rPr>
        <w:t>,</w:t>
      </w:r>
      <w:r>
        <w:rPr>
          <w:sz w:val="16"/>
        </w:rPr>
        <w:t xml:space="preserve"> aby nedošlo k rozlití kapaliny a následnému zkratu. Před připojením injekční pumpy k napájecímu zdroji se navíc ujistěte, že napájecí zástrčka a zásuvka jsou suché.</w:t>
      </w:r>
    </w:p>
    <w:p>
      <w:pPr>
        <w:pStyle w:val="ListParagraph"/>
        <w:numPr>
          <w:ilvl w:val="0"/>
          <w:numId w:val="42"/>
        </w:numPr>
        <w:tabs>
          <w:tab w:val="left" w:pos="526"/>
        </w:tabs>
        <w:spacing w:before="156" w:after="0" w:line="240" w:lineRule="auto"/>
        <w:ind w:left="526" w:right="0" w:hanging="231"/>
        <w:jc w:val="both"/>
        <w:rPr>
          <w:sz w:val="18"/>
        </w:rPr>
      </w:pPr>
      <w:r>
        <w:rPr>
          <w:sz w:val="16"/>
        </w:rPr>
        <w:t xml:space="preserve">Pokud </w:t>
      </w:r>
      <w:r>
        <w:rPr>
          <w:spacing w:val="-2"/>
          <w:sz w:val="16"/>
        </w:rPr>
        <w:t xml:space="preserve">je to možné, </w:t>
      </w:r>
      <w:r>
        <w:rPr>
          <w:sz w:val="16"/>
        </w:rPr>
        <w:t xml:space="preserve">používejte </w:t>
      </w:r>
      <w:r>
        <w:rPr>
          <w:sz w:val="16"/>
        </w:rPr>
        <w:t xml:space="preserve">léky </w:t>
      </w:r>
      <w:r>
        <w:rPr>
          <w:sz w:val="16"/>
        </w:rPr>
        <w:t xml:space="preserve">při </w:t>
      </w:r>
      <w:r>
        <w:rPr>
          <w:sz w:val="16"/>
        </w:rPr>
        <w:t xml:space="preserve">pokojové </w:t>
      </w:r>
      <w:r>
        <w:rPr>
          <w:sz w:val="16"/>
        </w:rPr>
        <w:t xml:space="preserve">teplotě </w:t>
      </w:r>
      <w:r>
        <w:rPr>
          <w:sz w:val="16"/>
        </w:rPr>
        <w:t xml:space="preserve">nebo </w:t>
      </w:r>
      <w:r>
        <w:rPr>
          <w:sz w:val="16"/>
        </w:rPr>
        <w:t>v její blízkosti</w:t>
      </w:r>
      <w:r>
        <w:rPr>
          <w:spacing w:val="-2"/>
          <w:sz w:val="16"/>
        </w:rPr>
        <w:t>.</w:t>
      </w:r>
    </w:p>
    <w:p>
      <w:pPr>
        <w:pStyle w:val="ListParagraph"/>
        <w:numPr>
          <w:ilvl w:val="0"/>
          <w:numId w:val="42"/>
        </w:numPr>
        <w:tabs>
          <w:tab w:val="left" w:pos="469"/>
        </w:tabs>
        <w:spacing w:before="189" w:after="0" w:line="278" w:lineRule="auto"/>
        <w:ind w:left="295" w:right="291" w:firstLine="0"/>
        <w:jc w:val="both"/>
        <w:rPr>
          <w:sz w:val="18"/>
        </w:rPr>
      </w:pPr>
      <w:r>
        <w:rPr>
          <w:sz w:val="16"/>
        </w:rPr>
        <w:t xml:space="preserve">Za normálních okolností používejte </w:t>
      </w:r>
      <w:r>
        <w:rPr>
          <w:sz w:val="16"/>
        </w:rPr>
        <w:t xml:space="preserve">pokud možno střídavý proud, protože to do určité míry prodlužuje životnost baterie. Při použití napájení střídavým proudem se ujistěte, že je uzemňovací vodič zdroje napájení dobře uzemněn, a používejte pouze napájecí kabel dodaný se stříkačkovou pumpou. Vestavěná baterie by měla být používána pouze jako záložní zdroj napájení, pokud nelze spolehlivě uzemnit napájení střídavým proudem nebo pokud je nepoužitelné (během výpadků proudu nebo při přemísťování stříkačkové </w:t>
      </w:r>
      <w:r>
        <w:rPr>
          <w:spacing w:val="-2"/>
          <w:sz w:val="16"/>
        </w:rPr>
        <w:t>pumpy).</w:t>
      </w:r>
    </w:p>
    <w:p>
      <w:pPr>
        <w:pStyle w:val="ListParagraph"/>
        <w:spacing w:after="0" w:line="278" w:lineRule="auto"/>
        <w:jc w:val="both"/>
        <w:rPr>
          <w:sz w:val="18"/>
        </w:rPr>
        <w:sectPr>
          <w:pgSz w:w="8390" w:h="11910"/>
          <w:pgMar w:top="660" w:right="425" w:bottom="540" w:left="425" w:header="0" w:footer="342"/>
          <w:cols w:space="708"/>
        </w:sectPr>
      </w:pPr>
    </w:p>
    <w:p>
      <w:pPr>
        <w:pStyle w:val="ListParagraph"/>
        <w:numPr>
          <w:ilvl w:val="0"/>
          <w:numId w:val="42"/>
        </w:numPr>
        <w:tabs>
          <w:tab w:val="left" w:pos="522"/>
        </w:tabs>
        <w:spacing w:before="78" w:after="0" w:line="278" w:lineRule="auto"/>
        <w:ind w:left="295" w:right="293" w:firstLine="0"/>
        <w:jc w:val="both"/>
        <w:rPr>
          <w:sz w:val="18"/>
        </w:rPr>
      </w:pPr>
      <w:r>
        <w:rPr>
          <w:sz w:val="16"/>
        </w:rPr>
        <w:t>Při podávání injekcí s nízkým průtokem věnujte zvláštní pozornost ucpání. Čím nižší je průtok injekce, tím déle trvá, než je ucpání detekováno, což může mít za následek prodloužené přerušení infuze.</w:t>
      </w:r>
    </w:p>
    <w:p>
      <w:pPr>
        <w:pStyle w:val="ListParagraph"/>
        <w:numPr>
          <w:ilvl w:val="0"/>
          <w:numId w:val="42"/>
        </w:numPr>
        <w:tabs>
          <w:tab w:val="left" w:pos="564"/>
        </w:tabs>
        <w:spacing w:before="155" w:after="0" w:line="278" w:lineRule="auto"/>
        <w:ind w:left="295" w:right="293" w:firstLine="0"/>
        <w:jc w:val="both"/>
        <w:rPr>
          <w:sz w:val="18"/>
        </w:rPr>
      </w:pPr>
      <w:r>
        <w:rPr>
          <w:sz w:val="16"/>
        </w:rPr>
        <w:t xml:space="preserve">Při používání počítačových rozhraní dávejte pozor na rušení od elektrochirurgických přístrojů, mobilních telefonů, bezdrátových zařízení a kardiodefibrilátorů a udržujte odstup od těchto </w:t>
      </w:r>
      <w:r>
        <w:rPr>
          <w:spacing w:val="-2"/>
          <w:sz w:val="16"/>
        </w:rPr>
        <w:t>zařízení.</w:t>
      </w:r>
    </w:p>
    <w:p>
      <w:pPr>
        <w:pStyle w:val="ListParagraph"/>
        <w:numPr>
          <w:ilvl w:val="0"/>
          <w:numId w:val="42"/>
        </w:numPr>
        <w:tabs>
          <w:tab w:val="left" w:pos="546"/>
        </w:tabs>
        <w:spacing w:before="156" w:after="0" w:line="278" w:lineRule="auto"/>
        <w:ind w:left="295" w:right="293" w:firstLine="0"/>
        <w:jc w:val="both"/>
        <w:rPr>
          <w:sz w:val="18"/>
        </w:rPr>
      </w:pPr>
      <w:r>
        <w:rPr>
          <w:sz w:val="16"/>
        </w:rPr>
        <w:t>Pokud došlo k nárazu, například pádem nebo kolizí, přestaňte injekční pumpu používat a okamžitě kontaktujte zákaznický servis</w:t>
      </w:r>
      <w:r>
        <w:rPr>
          <w:sz w:val="16"/>
        </w:rPr>
        <w:t>. Vnitřní součásti mohou být poškozeny, i když nejsou viditelné žádné viditelné nebo provozní anomálie.</w:t>
      </w:r>
    </w:p>
    <w:p>
      <w:pPr>
        <w:pStyle w:val="ListParagraph"/>
        <w:numPr>
          <w:ilvl w:val="0"/>
          <w:numId w:val="42"/>
        </w:numPr>
        <w:tabs>
          <w:tab w:val="left" w:pos="575"/>
        </w:tabs>
        <w:spacing w:before="156" w:after="0" w:line="278" w:lineRule="auto"/>
        <w:ind w:left="295" w:right="294" w:firstLine="0"/>
        <w:jc w:val="both"/>
        <w:rPr>
          <w:sz w:val="18"/>
        </w:rPr>
      </w:pPr>
      <w:r>
        <w:rPr>
          <w:sz w:val="16"/>
        </w:rPr>
        <w:t>Zajistěte, aby injekční pumpu obsluhovali vyškolení odborníci, jako jsou lékaři, zdravotní sestry a odborníci na zdravotnickou elektrotechniku.</w:t>
      </w:r>
    </w:p>
    <w:p>
      <w:pPr>
        <w:pStyle w:val="ListParagraph"/>
        <w:numPr>
          <w:ilvl w:val="0"/>
          <w:numId w:val="42"/>
        </w:numPr>
        <w:tabs>
          <w:tab w:val="left" w:pos="550"/>
        </w:tabs>
        <w:spacing w:before="156" w:after="0" w:line="278" w:lineRule="auto"/>
        <w:ind w:left="295" w:right="293" w:firstLine="0"/>
        <w:jc w:val="both"/>
        <w:rPr>
          <w:sz w:val="18"/>
        </w:rPr>
      </w:pPr>
      <w:r>
        <w:rPr>
          <w:sz w:val="16"/>
        </w:rPr>
        <w:t>Tento produkt nerozebírejte, neupravujte ani nepoužívejte k jiným účelům; společnost nenese odpovědnost za žádné důsledky takovýchto činností.</w:t>
      </w:r>
    </w:p>
    <w:p>
      <w:pPr>
        <w:pStyle w:val="ListParagraph"/>
        <w:numPr>
          <w:ilvl w:val="0"/>
          <w:numId w:val="42"/>
        </w:numPr>
        <w:tabs>
          <w:tab w:val="left" w:pos="531"/>
        </w:tabs>
        <w:spacing w:before="155" w:after="0" w:line="278" w:lineRule="auto"/>
        <w:ind w:left="295" w:right="291" w:firstLine="0"/>
        <w:jc w:val="both"/>
        <w:rPr>
          <w:sz w:val="18"/>
        </w:rPr>
      </w:pPr>
      <w:r>
        <w:rPr>
          <w:sz w:val="16"/>
        </w:rPr>
        <w:t xml:space="preserve">Během </w:t>
      </w:r>
      <w:r>
        <w:rPr>
          <w:sz w:val="16"/>
        </w:rPr>
        <w:t xml:space="preserve">úplného výpadku napájení (z </w:t>
      </w:r>
      <w:r>
        <w:rPr>
          <w:sz w:val="16"/>
        </w:rPr>
        <w:t xml:space="preserve">elektrické sítě </w:t>
      </w:r>
      <w:r>
        <w:rPr>
          <w:sz w:val="16"/>
        </w:rPr>
        <w:t xml:space="preserve">i z </w:t>
      </w:r>
      <w:r>
        <w:rPr>
          <w:sz w:val="16"/>
        </w:rPr>
        <w:t xml:space="preserve">interních zdrojů) </w:t>
      </w:r>
      <w:r>
        <w:rPr>
          <w:sz w:val="16"/>
        </w:rPr>
        <w:t xml:space="preserve">zůstanou uložené záznamy alarmového systému nedotčeny, ale výpadek napájení nebude zaznamenán jako alarm v </w:t>
      </w:r>
      <w:r>
        <w:rPr>
          <w:spacing w:val="-2"/>
          <w:sz w:val="16"/>
        </w:rPr>
        <w:t>záznamech.</w:t>
      </w:r>
    </w:p>
    <w:p>
      <w:pPr>
        <w:pStyle w:val="ListParagraph"/>
        <w:numPr>
          <w:ilvl w:val="0"/>
          <w:numId w:val="42"/>
        </w:numPr>
        <w:tabs>
          <w:tab w:val="left" w:pos="503"/>
        </w:tabs>
        <w:spacing w:before="156" w:after="0" w:line="278" w:lineRule="auto"/>
        <w:ind w:left="295" w:right="294" w:firstLine="0"/>
        <w:jc w:val="both"/>
        <w:rPr>
          <w:sz w:val="18"/>
        </w:rPr>
      </w:pPr>
      <w:r>
        <w:rPr>
          <w:sz w:val="16"/>
        </w:rPr>
        <w:t xml:space="preserve">Uvědomte si </w:t>
      </w:r>
      <w:r>
        <w:rPr>
          <w:sz w:val="16"/>
        </w:rPr>
        <w:t xml:space="preserve">potenciální nebezpečí, když </w:t>
      </w:r>
      <w:r>
        <w:rPr>
          <w:sz w:val="16"/>
        </w:rPr>
        <w:t xml:space="preserve">mají </w:t>
      </w:r>
      <w:r>
        <w:rPr>
          <w:sz w:val="16"/>
        </w:rPr>
        <w:t xml:space="preserve">různá zařízení nebo podobná zařízení v </w:t>
      </w:r>
      <w:r>
        <w:rPr>
          <w:sz w:val="16"/>
        </w:rPr>
        <w:t>různých oblastech různé přednastavené alarmy, zejména v kritických prostředích, jako jsou jednotky intenzivní péče a kardiochirurgické sály.</w:t>
      </w:r>
    </w:p>
    <w:p>
      <w:pPr>
        <w:pStyle w:val="ListParagraph"/>
        <w:numPr>
          <w:ilvl w:val="0"/>
          <w:numId w:val="42"/>
        </w:numPr>
        <w:tabs>
          <w:tab w:val="left" w:pos="557"/>
        </w:tabs>
        <w:spacing w:before="156" w:after="0" w:line="278" w:lineRule="auto"/>
        <w:ind w:left="295" w:right="294" w:firstLine="0"/>
        <w:jc w:val="both"/>
        <w:rPr>
          <w:sz w:val="18"/>
        </w:rPr>
      </w:pPr>
      <w:r>
        <w:rPr>
          <w:sz w:val="16"/>
        </w:rPr>
        <w:t>Pokud alarmový systém po výpadku napájení neobnoví nastavení, dočasně přestaňte zařízení používat, resetujte alarmový systém a ověřte jeho funkčnost.</w:t>
      </w:r>
    </w:p>
    <w:p>
      <w:pPr>
        <w:pStyle w:val="ListParagraph"/>
        <w:numPr>
          <w:ilvl w:val="0"/>
          <w:numId w:val="42"/>
        </w:numPr>
        <w:tabs>
          <w:tab w:val="left" w:pos="514"/>
        </w:tabs>
        <w:spacing w:before="156" w:after="0" w:line="240" w:lineRule="auto"/>
        <w:ind w:left="514" w:right="0" w:hanging="219"/>
        <w:jc w:val="left"/>
        <w:rPr>
          <w:sz w:val="18"/>
        </w:rPr>
      </w:pPr>
      <w:r>
        <w:rPr>
          <w:sz w:val="16"/>
        </w:rPr>
        <w:t xml:space="preserve">Nastavení alarmu </w:t>
      </w:r>
      <w:r>
        <w:rPr>
          <w:sz w:val="16"/>
        </w:rPr>
        <w:t xml:space="preserve">se </w:t>
      </w:r>
      <w:r>
        <w:rPr>
          <w:sz w:val="16"/>
        </w:rPr>
        <w:t xml:space="preserve">automaticky </w:t>
      </w:r>
      <w:r>
        <w:rPr>
          <w:sz w:val="16"/>
        </w:rPr>
        <w:t xml:space="preserve">obnoví, </w:t>
      </w:r>
      <w:r>
        <w:rPr>
          <w:sz w:val="16"/>
        </w:rPr>
        <w:t xml:space="preserve">pokud </w:t>
      </w:r>
      <w:r>
        <w:rPr>
          <w:sz w:val="16"/>
        </w:rPr>
        <w:t xml:space="preserve">výpadek </w:t>
      </w:r>
      <w:r>
        <w:rPr>
          <w:sz w:val="16"/>
        </w:rPr>
        <w:t xml:space="preserve">napájení </w:t>
      </w:r>
      <w:r>
        <w:rPr>
          <w:sz w:val="16"/>
        </w:rPr>
        <w:t>nepřesáhne</w:t>
      </w:r>
      <w:r>
        <w:rPr>
          <w:sz w:val="16"/>
        </w:rPr>
        <w:t xml:space="preserve"> 30 </w:t>
      </w:r>
      <w:r>
        <w:rPr>
          <w:spacing w:val="-2"/>
          <w:sz w:val="16"/>
        </w:rPr>
        <w:t>sekund.</w:t>
      </w:r>
    </w:p>
    <w:p>
      <w:pPr>
        <w:pStyle w:val="ListParagraph"/>
        <w:numPr>
          <w:ilvl w:val="0"/>
          <w:numId w:val="42"/>
        </w:numPr>
        <w:tabs>
          <w:tab w:val="left" w:pos="498"/>
        </w:tabs>
        <w:spacing w:before="189" w:after="0" w:line="240" w:lineRule="auto"/>
        <w:ind w:left="498" w:right="0" w:hanging="203"/>
        <w:jc w:val="left"/>
        <w:rPr>
          <w:sz w:val="18"/>
        </w:rPr>
      </w:pPr>
      <w:r>
        <w:rPr>
          <w:sz w:val="16"/>
        </w:rPr>
        <w:t xml:space="preserve">V </w:t>
      </w:r>
      <w:r>
        <w:rPr>
          <w:sz w:val="16"/>
        </w:rPr>
        <w:t xml:space="preserve">případě </w:t>
      </w:r>
      <w:r>
        <w:rPr>
          <w:sz w:val="16"/>
        </w:rPr>
        <w:t xml:space="preserve">nejistoty </w:t>
      </w:r>
      <w:r>
        <w:rPr>
          <w:sz w:val="16"/>
        </w:rPr>
        <w:t xml:space="preserve">ohledně </w:t>
      </w:r>
      <w:r>
        <w:rPr>
          <w:sz w:val="16"/>
        </w:rPr>
        <w:t xml:space="preserve">účinnosti </w:t>
      </w:r>
      <w:r>
        <w:rPr>
          <w:sz w:val="16"/>
        </w:rPr>
        <w:t xml:space="preserve">ochranného </w:t>
      </w:r>
      <w:r>
        <w:rPr>
          <w:spacing w:val="-2"/>
          <w:sz w:val="16"/>
        </w:rPr>
        <w:t xml:space="preserve">uzemnění </w:t>
      </w:r>
      <w:r>
        <w:rPr>
          <w:sz w:val="16"/>
        </w:rPr>
        <w:t xml:space="preserve">použijte </w:t>
      </w:r>
      <w:r>
        <w:rPr>
          <w:sz w:val="16"/>
        </w:rPr>
        <w:t xml:space="preserve">interní </w:t>
      </w:r>
      <w:r>
        <w:rPr>
          <w:sz w:val="16"/>
        </w:rPr>
        <w:t>napájení</w:t>
      </w:r>
      <w:r>
        <w:rPr>
          <w:spacing w:val="-2"/>
          <w:sz w:val="16"/>
        </w:rPr>
        <w:t>.</w:t>
      </w:r>
    </w:p>
    <w:p>
      <w:pPr>
        <w:pStyle w:val="ListParagraph"/>
        <w:numPr>
          <w:ilvl w:val="0"/>
          <w:numId w:val="42"/>
        </w:numPr>
        <w:tabs>
          <w:tab w:val="left" w:pos="505"/>
        </w:tabs>
        <w:spacing w:before="189" w:after="0" w:line="240" w:lineRule="auto"/>
        <w:ind w:left="505" w:right="0" w:hanging="210"/>
        <w:jc w:val="left"/>
        <w:rPr>
          <w:sz w:val="18"/>
        </w:rPr>
      </w:pPr>
      <w:r>
        <w:rPr>
          <w:sz w:val="16"/>
        </w:rPr>
        <w:t xml:space="preserve">Zařízení </w:t>
      </w:r>
      <w:r>
        <w:rPr>
          <w:sz w:val="16"/>
        </w:rPr>
        <w:t xml:space="preserve">by </w:t>
      </w:r>
      <w:r>
        <w:rPr>
          <w:sz w:val="16"/>
        </w:rPr>
        <w:t xml:space="preserve">se </w:t>
      </w:r>
      <w:r>
        <w:rPr>
          <w:sz w:val="16"/>
        </w:rPr>
        <w:t xml:space="preserve">nemělo </w:t>
      </w:r>
      <w:r>
        <w:rPr>
          <w:sz w:val="16"/>
        </w:rPr>
        <w:t xml:space="preserve">používat, </w:t>
      </w:r>
      <w:r>
        <w:rPr>
          <w:sz w:val="16"/>
        </w:rPr>
        <w:t xml:space="preserve">pokud </w:t>
      </w:r>
      <w:r>
        <w:rPr>
          <w:sz w:val="16"/>
        </w:rPr>
        <w:t xml:space="preserve">je </w:t>
      </w:r>
      <w:r>
        <w:rPr>
          <w:sz w:val="16"/>
        </w:rPr>
        <w:t xml:space="preserve">jeho </w:t>
      </w:r>
      <w:r>
        <w:rPr>
          <w:sz w:val="16"/>
        </w:rPr>
        <w:t xml:space="preserve">kryt </w:t>
      </w:r>
      <w:r>
        <w:rPr>
          <w:spacing w:val="-2"/>
          <w:sz w:val="16"/>
        </w:rPr>
        <w:t>poškozen.</w:t>
      </w:r>
    </w:p>
    <w:p>
      <w:pPr>
        <w:pStyle w:val="ListParagraph"/>
        <w:numPr>
          <w:ilvl w:val="0"/>
          <w:numId w:val="42"/>
        </w:numPr>
        <w:tabs>
          <w:tab w:val="left" w:pos="550"/>
        </w:tabs>
        <w:spacing w:before="189" w:after="0" w:line="278" w:lineRule="auto"/>
        <w:ind w:left="295" w:right="291" w:firstLine="0"/>
        <w:jc w:val="both"/>
        <w:rPr>
          <w:sz w:val="18"/>
        </w:rPr>
      </w:pPr>
      <w:r>
        <w:rPr>
          <w:sz w:val="16"/>
        </w:rPr>
        <w:t>Zajistěte, aby byla injekční pumpa umístěna na přístupném místě pro snadné ovládání vypínacího mechanismu.</w:t>
      </w:r>
    </w:p>
    <w:p>
      <w:pPr>
        <w:pStyle w:val="ListParagraph"/>
        <w:numPr>
          <w:ilvl w:val="0"/>
          <w:numId w:val="42"/>
        </w:numPr>
        <w:tabs>
          <w:tab w:val="left" w:pos="531"/>
        </w:tabs>
        <w:spacing w:before="155" w:after="0" w:line="278" w:lineRule="auto"/>
        <w:ind w:left="295" w:right="291" w:firstLine="0"/>
        <w:jc w:val="both"/>
        <w:rPr>
          <w:sz w:val="18"/>
        </w:rPr>
      </w:pPr>
      <w:r>
        <w:rPr>
          <w:sz w:val="16"/>
        </w:rPr>
        <w:t xml:space="preserve">Před </w:t>
      </w:r>
      <w:r>
        <w:rPr>
          <w:sz w:val="16"/>
        </w:rPr>
        <w:t xml:space="preserve">instalací </w:t>
      </w:r>
      <w:r>
        <w:rPr>
          <w:sz w:val="16"/>
        </w:rPr>
        <w:t xml:space="preserve">injekční stříkačky se ujistěte, </w:t>
      </w:r>
      <w:r>
        <w:rPr>
          <w:sz w:val="16"/>
        </w:rPr>
        <w:t xml:space="preserve">že je </w:t>
      </w:r>
      <w:r>
        <w:rPr>
          <w:sz w:val="16"/>
        </w:rPr>
        <w:t xml:space="preserve">infuzní </w:t>
      </w:r>
      <w:r>
        <w:rPr>
          <w:sz w:val="16"/>
        </w:rPr>
        <w:t xml:space="preserve">hadička </w:t>
      </w:r>
      <w:r>
        <w:rPr>
          <w:sz w:val="16"/>
        </w:rPr>
        <w:t xml:space="preserve">uzavřena. </w:t>
      </w:r>
      <w:r>
        <w:rPr>
          <w:sz w:val="16"/>
        </w:rPr>
        <w:t xml:space="preserve">Po dokončení </w:t>
      </w:r>
      <w:r>
        <w:rPr>
          <w:sz w:val="16"/>
        </w:rPr>
        <w:t xml:space="preserve">infuze nebo řešení alarmů, pokud se push-pull box vzdálí od pístu injekční stříkačky nebo je nutné jej otevřít, </w:t>
      </w:r>
      <w:r>
        <w:rPr>
          <w:sz w:val="16"/>
        </w:rPr>
        <w:t xml:space="preserve">zkontrolujte, </w:t>
      </w:r>
      <w:r>
        <w:rPr>
          <w:sz w:val="16"/>
        </w:rPr>
        <w:t xml:space="preserve">zda je </w:t>
      </w:r>
      <w:r>
        <w:rPr>
          <w:sz w:val="16"/>
        </w:rPr>
        <w:t xml:space="preserve">infuzní </w:t>
      </w:r>
      <w:r>
        <w:rPr>
          <w:sz w:val="16"/>
        </w:rPr>
        <w:t xml:space="preserve">hadička </w:t>
      </w:r>
      <w:r>
        <w:rPr>
          <w:sz w:val="16"/>
        </w:rPr>
        <w:t xml:space="preserve">uzavřena. </w:t>
      </w:r>
      <w:r>
        <w:rPr>
          <w:sz w:val="16"/>
        </w:rPr>
        <w:t xml:space="preserve">Zabraňte </w:t>
      </w:r>
      <w:r>
        <w:rPr>
          <w:sz w:val="16"/>
        </w:rPr>
        <w:t>riziku</w:t>
      </w:r>
      <w:r>
        <w:rPr>
          <w:sz w:val="16"/>
        </w:rPr>
        <w:t xml:space="preserve"> </w:t>
      </w:r>
      <w:r>
        <w:rPr>
          <w:sz w:val="16"/>
        </w:rPr>
        <w:t xml:space="preserve">nehody </w:t>
      </w:r>
      <w:r>
        <w:rPr>
          <w:sz w:val="16"/>
        </w:rPr>
        <w:t>během</w:t>
      </w:r>
      <w:r>
        <w:rPr>
          <w:sz w:val="16"/>
        </w:rPr>
        <w:t xml:space="preserve"> infuze</w:t>
      </w:r>
      <w:r>
        <w:rPr>
          <w:sz w:val="16"/>
        </w:rPr>
        <w:t>!</w:t>
      </w:r>
    </w:p>
    <w:p>
      <w:pPr>
        <w:pStyle w:val="ListParagraph"/>
        <w:numPr>
          <w:ilvl w:val="0"/>
          <w:numId w:val="42"/>
        </w:numPr>
        <w:tabs>
          <w:tab w:val="left" w:pos="582"/>
        </w:tabs>
        <w:spacing w:before="156" w:after="0" w:line="278" w:lineRule="auto"/>
        <w:ind w:left="295" w:right="292" w:firstLine="0"/>
        <w:jc w:val="both"/>
        <w:rPr>
          <w:sz w:val="18"/>
        </w:rPr>
      </w:pPr>
      <w:r>
        <w:rPr>
          <w:sz w:val="16"/>
        </w:rPr>
        <w:t>Před zahájením infuze se ujistěte, že je infuzní hadička otevřená a že svorka push-pull boxu zajistila píst injekční stříkačky, aby nedošlo k nedostatečné infuzi a následkům zpoždění léčby.</w:t>
      </w:r>
    </w:p>
    <w:p>
      <w:pPr>
        <w:pStyle w:val="ListParagraph"/>
        <w:spacing w:after="0" w:line="278" w:lineRule="auto"/>
        <w:jc w:val="both"/>
        <w:rPr>
          <w:sz w:val="18"/>
        </w:rPr>
        <w:sectPr>
          <w:pgSz w:w="8390" w:h="11910"/>
          <w:pgMar w:top="660" w:right="425" w:bottom="540" w:left="425" w:header="0" w:footer="342"/>
          <w:cols w:space="708"/>
        </w:sectPr>
      </w:pPr>
    </w:p>
    <w:p>
      <w:pPr>
        <w:pStyle w:val="Heading1"/>
        <w:numPr>
          <w:ilvl w:val="0"/>
          <w:numId w:val="1"/>
        </w:numPr>
        <w:tabs>
          <w:tab w:val="left" w:pos="443"/>
        </w:tabs>
        <w:spacing w:before="72" w:after="0" w:line="240" w:lineRule="auto"/>
        <w:ind w:left="443" w:right="0" w:hanging="148"/>
        <w:jc w:val="left"/>
      </w:pPr>
      <w:bookmarkStart w:id="4" w:name="2.Overview"/>
      <w:bookmarkEnd w:id="4"/>
      <w:bookmarkStart w:id="5" w:name="_bookmark2"/>
      <w:bookmarkEnd w:id="5"/>
      <w:r>
        <w:rPr>
          <w:spacing w:val="-2"/>
          <w:sz w:val="18"/>
        </w:rPr>
        <w:t>Přehled</w:t>
      </w:r>
    </w:p>
    <w:p>
      <w:pPr>
        <w:pStyle w:val="Heading1"/>
        <w:numPr>
          <w:ilvl w:val="1"/>
          <w:numId w:val="1"/>
        </w:numPr>
        <w:tabs>
          <w:tab w:val="left" w:pos="593"/>
        </w:tabs>
        <w:spacing w:before="63" w:after="0" w:line="240" w:lineRule="auto"/>
        <w:ind w:left="593" w:right="0" w:hanging="298"/>
        <w:jc w:val="left"/>
      </w:pPr>
      <w:bookmarkStart w:id="6" w:name="2.1 Features"/>
      <w:bookmarkEnd w:id="6"/>
      <w:bookmarkStart w:id="7" w:name="_bookmark3"/>
      <w:bookmarkEnd w:id="7"/>
      <w:r>
        <w:rPr>
          <w:spacing w:val="-2"/>
          <w:sz w:val="18"/>
        </w:rPr>
        <w:t>Vlastnosti</w:t>
      </w:r>
    </w:p>
    <w:p>
      <w:pPr>
        <w:pStyle w:val="BodyText"/>
        <w:spacing w:before="184" w:line="204" w:lineRule="auto"/>
        <w:ind w:left="616" w:hanging="322"/>
      </w:pPr>
      <w:r>
        <w:rPr>
          <w:rFonts w:ascii="Noto Sans Symbols2" w:eastAsia="Noto Sans Symbols2" w:hAnsi="Noto Sans Symbols2" w:cs="Noto Sans Symbols2"/>
          <w:sz w:val="16"/>
        </w:rPr>
        <w:t xml:space="preserve">⯎ </w:t>
      </w:r>
      <w:r>
        <w:rPr>
          <w:sz w:val="16"/>
        </w:rPr>
        <w:t xml:space="preserve">Produkt </w:t>
      </w:r>
      <w:r>
        <w:rPr>
          <w:sz w:val="16"/>
        </w:rPr>
        <w:t xml:space="preserve">se pyšní </w:t>
      </w:r>
      <w:r>
        <w:rPr>
          <w:sz w:val="16"/>
        </w:rPr>
        <w:t xml:space="preserve">uživatelsky přívětivým </w:t>
      </w:r>
      <w:r>
        <w:rPr>
          <w:sz w:val="16"/>
        </w:rPr>
        <w:t xml:space="preserve">rozhraním </w:t>
      </w:r>
      <w:r>
        <w:rPr>
          <w:sz w:val="16"/>
        </w:rPr>
        <w:t xml:space="preserve">člověk-stroj </w:t>
      </w:r>
      <w:r>
        <w:rPr>
          <w:sz w:val="16"/>
        </w:rPr>
        <w:t xml:space="preserve">a </w:t>
      </w:r>
      <w:r>
        <w:rPr>
          <w:sz w:val="16"/>
        </w:rPr>
        <w:t xml:space="preserve">pohodlným </w:t>
      </w:r>
      <w:r>
        <w:rPr>
          <w:sz w:val="16"/>
        </w:rPr>
        <w:t xml:space="preserve">nastavením provozu. </w:t>
      </w:r>
      <w:r>
        <w:rPr>
          <w:sz w:val="16"/>
        </w:rPr>
        <w:t xml:space="preserve">Je </w:t>
      </w:r>
      <w:r>
        <w:rPr>
          <w:sz w:val="16"/>
        </w:rPr>
        <w:t>vybaven</w:t>
      </w:r>
      <w:r>
        <w:rPr>
          <w:sz w:val="16"/>
        </w:rPr>
        <w:t xml:space="preserve"> 2,8palcovým </w:t>
      </w:r>
      <w:r>
        <w:rPr>
          <w:sz w:val="16"/>
        </w:rPr>
        <w:t xml:space="preserve">barevným </w:t>
      </w:r>
      <w:r>
        <w:rPr>
          <w:sz w:val="16"/>
        </w:rPr>
        <w:t xml:space="preserve">LCD </w:t>
      </w:r>
      <w:r>
        <w:rPr>
          <w:sz w:val="16"/>
        </w:rPr>
        <w:t xml:space="preserve">displejem </w:t>
      </w:r>
      <w:r>
        <w:rPr>
          <w:sz w:val="16"/>
        </w:rPr>
        <w:t xml:space="preserve">s </w:t>
      </w:r>
      <w:r>
        <w:rPr>
          <w:sz w:val="16"/>
        </w:rPr>
        <w:t xml:space="preserve">podrobným </w:t>
      </w:r>
      <w:r>
        <w:rPr>
          <w:sz w:val="16"/>
        </w:rPr>
        <w:t xml:space="preserve">zobrazením </w:t>
      </w:r>
      <w:r>
        <w:rPr>
          <w:sz w:val="16"/>
        </w:rPr>
        <w:t>menu</w:t>
      </w:r>
      <w:r>
        <w:rPr>
          <w:sz w:val="16"/>
        </w:rPr>
        <w:t xml:space="preserve">. </w:t>
      </w:r>
      <w:r>
        <w:rPr>
          <w:sz w:val="16"/>
        </w:rPr>
        <w:t xml:space="preserve">Jeho </w:t>
      </w:r>
      <w:r>
        <w:rPr>
          <w:spacing w:val="-2"/>
          <w:sz w:val="16"/>
        </w:rPr>
        <w:t>více</w:t>
      </w:r>
    </w:p>
    <w:p>
      <w:pPr>
        <w:pStyle w:val="BodyText"/>
        <w:spacing w:before="40"/>
        <w:ind w:left="616"/>
      </w:pPr>
      <w:r>
        <w:rPr>
          <w:sz w:val="16"/>
        </w:rPr>
        <w:t xml:space="preserve">vnitřní </w:t>
      </w:r>
      <w:r>
        <w:rPr>
          <w:sz w:val="16"/>
        </w:rPr>
        <w:t xml:space="preserve">konstrukce </w:t>
      </w:r>
      <w:r>
        <w:rPr>
          <w:sz w:val="16"/>
        </w:rPr>
        <w:t xml:space="preserve">zajišťující spolehlivost </w:t>
      </w:r>
      <w:r>
        <w:rPr>
          <w:sz w:val="16"/>
        </w:rPr>
        <w:t xml:space="preserve">a </w:t>
      </w:r>
      <w:r>
        <w:rPr>
          <w:sz w:val="16"/>
        </w:rPr>
        <w:t xml:space="preserve">rozsáhlé výstražné </w:t>
      </w:r>
      <w:r>
        <w:rPr>
          <w:sz w:val="16"/>
        </w:rPr>
        <w:t xml:space="preserve">signály </w:t>
      </w:r>
      <w:r>
        <w:rPr>
          <w:sz w:val="16"/>
        </w:rPr>
        <w:t xml:space="preserve">zvyšují </w:t>
      </w:r>
      <w:r>
        <w:rPr>
          <w:sz w:val="16"/>
        </w:rPr>
        <w:t xml:space="preserve">stabilitu </w:t>
      </w:r>
      <w:r>
        <w:rPr>
          <w:sz w:val="16"/>
        </w:rPr>
        <w:t xml:space="preserve">a </w:t>
      </w:r>
      <w:r>
        <w:rPr>
          <w:spacing w:val="-2"/>
          <w:sz w:val="16"/>
        </w:rPr>
        <w:t>bezpečnost.</w:t>
      </w:r>
    </w:p>
    <w:p>
      <w:pPr>
        <w:pStyle w:val="BodyText"/>
        <w:spacing w:before="164"/>
      </w:pPr>
      <w:r>
        <w:rPr>
          <w:rFonts w:ascii="Noto Sans Symbols2" w:eastAsia="Noto Sans Symbols2" w:hAnsi="Noto Sans Symbols2" w:cs="Noto Sans Symbols2"/>
          <w:sz w:val="16"/>
        </w:rPr>
        <w:t>⯎</w:t>
      </w:r>
      <w:r>
        <w:rPr>
          <w:rFonts w:ascii="Noto Sans Symbols2" w:eastAsia="Noto Sans Symbols2" w:hAnsi="Noto Sans Symbols2" w:cs="Noto Sans Symbols2"/>
          <w:spacing w:val="40"/>
          <w:sz w:val="16"/>
        </w:rPr>
        <w:t xml:space="preserve">  </w:t>
      </w:r>
      <w:r>
        <w:rPr>
          <w:sz w:val="16"/>
        </w:rPr>
        <w:t xml:space="preserve"> Obloukový </w:t>
      </w:r>
      <w:r>
        <w:rPr>
          <w:sz w:val="16"/>
        </w:rPr>
        <w:t xml:space="preserve">design </w:t>
      </w:r>
      <w:r>
        <w:rPr>
          <w:sz w:val="16"/>
        </w:rPr>
        <w:t xml:space="preserve">je </w:t>
      </w:r>
      <w:r>
        <w:rPr>
          <w:sz w:val="16"/>
        </w:rPr>
        <w:t xml:space="preserve">esteticky </w:t>
      </w:r>
      <w:r>
        <w:rPr>
          <w:sz w:val="16"/>
        </w:rPr>
        <w:t xml:space="preserve">příjemný, bezpečný </w:t>
      </w:r>
      <w:r>
        <w:rPr>
          <w:sz w:val="16"/>
        </w:rPr>
        <w:t xml:space="preserve">při </w:t>
      </w:r>
      <w:r>
        <w:rPr>
          <w:sz w:val="16"/>
        </w:rPr>
        <w:t xml:space="preserve">manipulaci a </w:t>
      </w:r>
      <w:r>
        <w:rPr>
          <w:sz w:val="16"/>
        </w:rPr>
        <w:t xml:space="preserve">snadno se </w:t>
      </w:r>
      <w:r>
        <w:rPr>
          <w:spacing w:val="-2"/>
          <w:sz w:val="16"/>
        </w:rPr>
        <w:t>čistí.</w:t>
      </w:r>
    </w:p>
    <w:p>
      <w:pPr>
        <w:pStyle w:val="BodyText"/>
        <w:spacing w:before="90"/>
      </w:pPr>
      <w:r>
        <w:rPr>
          <w:spacing w:val="-3"/>
          <w:sz w:val="16"/>
        </w:rPr>
        <w:t>⯎</w:t>
      </w:r>
      <w:r>
        <w:rPr>
          <w:rFonts w:ascii="Noto Sans Symbols2" w:eastAsia="Noto Sans Symbols2" w:hAnsi="Noto Sans Symbols2" w:cs="Noto Sans Symbols2"/>
          <w:spacing w:val="39"/>
          <w:sz w:val="16"/>
        </w:rPr>
        <w:t xml:space="preserve">  </w:t>
      </w:r>
      <w:r>
        <w:rPr>
          <w:sz w:val="16"/>
        </w:rPr>
        <w:t xml:space="preserve"> Jeho </w:t>
      </w:r>
      <w:r>
        <w:rPr>
          <w:sz w:val="16"/>
        </w:rPr>
        <w:t xml:space="preserve">ergonomický </w:t>
      </w:r>
      <w:r>
        <w:rPr>
          <w:sz w:val="16"/>
        </w:rPr>
        <w:t xml:space="preserve">design </w:t>
      </w:r>
      <w:r>
        <w:rPr>
          <w:sz w:val="16"/>
        </w:rPr>
        <w:t xml:space="preserve">umožňuje </w:t>
      </w:r>
      <w:r>
        <w:rPr>
          <w:sz w:val="16"/>
        </w:rPr>
        <w:t>stohování</w:t>
      </w:r>
      <w:r>
        <w:rPr>
          <w:spacing w:val="-2"/>
          <w:sz w:val="16"/>
        </w:rPr>
        <w:t>.</w:t>
      </w:r>
    </w:p>
    <w:p>
      <w:pPr>
        <w:pStyle w:val="BodyText"/>
        <w:spacing w:before="40"/>
        <w:ind w:left="0"/>
      </w:pPr>
    </w:p>
    <w:p>
      <w:pPr>
        <w:pStyle w:val="Heading1"/>
        <w:numPr>
          <w:ilvl w:val="1"/>
          <w:numId w:val="1"/>
        </w:numPr>
        <w:tabs>
          <w:tab w:val="left" w:pos="593"/>
        </w:tabs>
        <w:spacing w:before="1" w:after="0" w:line="240" w:lineRule="auto"/>
        <w:ind w:left="593" w:right="0" w:hanging="298"/>
        <w:jc w:val="left"/>
      </w:pPr>
      <w:bookmarkStart w:id="8" w:name="2.2 Main Purpose and Scope of Applicatio"/>
      <w:bookmarkEnd w:id="8"/>
      <w:bookmarkStart w:id="9" w:name="_bookmark4"/>
      <w:bookmarkEnd w:id="9"/>
      <w:r>
        <w:rPr>
          <w:sz w:val="18"/>
        </w:rPr>
        <w:t xml:space="preserve">Hlavní </w:t>
      </w:r>
      <w:r>
        <w:rPr>
          <w:sz w:val="18"/>
        </w:rPr>
        <w:t xml:space="preserve">účel </w:t>
      </w:r>
      <w:r>
        <w:rPr>
          <w:sz w:val="18"/>
        </w:rPr>
        <w:t xml:space="preserve">a </w:t>
      </w:r>
      <w:r>
        <w:rPr>
          <w:sz w:val="18"/>
        </w:rPr>
        <w:t xml:space="preserve">rozsah </w:t>
      </w:r>
      <w:r>
        <w:rPr>
          <w:spacing w:val="-2"/>
          <w:sz w:val="18"/>
        </w:rPr>
        <w:t>použití</w:t>
      </w:r>
    </w:p>
    <w:p>
      <w:pPr>
        <w:pStyle w:val="BodyText"/>
        <w:spacing w:before="177" w:line="278" w:lineRule="auto"/>
        <w:ind w:right="292"/>
        <w:jc w:val="both"/>
      </w:pPr>
      <w:r>
        <w:rPr>
          <w:sz w:val="16"/>
        </w:rPr>
        <w:t>V kombinaci se specifickými infuzními nástroji se používá pro intravenózní infuze vyžadující dlouhou dobu trvání, konstantní rychlost podávání léků a přesné dávkování. Nepoužívá se pro infuze léků proti bolesti, chemoterapeutických léků ani inzulínu.</w:t>
      </w:r>
    </w:p>
    <w:p>
      <w:pPr>
        <w:pStyle w:val="BodyText"/>
        <w:spacing w:before="81"/>
        <w:ind w:left="0"/>
      </w:pPr>
    </w:p>
    <w:p>
      <w:pPr>
        <w:pStyle w:val="Heading1"/>
        <w:numPr>
          <w:ilvl w:val="1"/>
          <w:numId w:val="1"/>
        </w:numPr>
        <w:tabs>
          <w:tab w:val="left" w:pos="588"/>
        </w:tabs>
        <w:spacing w:before="0" w:after="0" w:line="240" w:lineRule="auto"/>
        <w:ind w:left="588" w:right="0" w:hanging="293"/>
        <w:jc w:val="left"/>
      </w:pPr>
      <w:bookmarkStart w:id="10" w:name="2.3 Types and Specifications"/>
      <w:bookmarkEnd w:id="10"/>
      <w:bookmarkStart w:id="11" w:name="_bookmark5"/>
      <w:bookmarkEnd w:id="11"/>
      <w:r>
        <w:rPr>
          <w:sz w:val="18"/>
        </w:rPr>
        <w:t xml:space="preserve">Typy </w:t>
      </w:r>
      <w:r>
        <w:rPr>
          <w:sz w:val="18"/>
        </w:rPr>
        <w:t xml:space="preserve">a </w:t>
      </w:r>
      <w:r>
        <w:rPr>
          <w:spacing w:val="-2"/>
          <w:sz w:val="18"/>
        </w:rPr>
        <w:t>specifikace</w:t>
      </w:r>
    </w:p>
    <w:p>
      <w:pPr>
        <w:pStyle w:val="BodyText"/>
        <w:spacing w:before="180" w:line="278" w:lineRule="auto"/>
        <w:ind w:right="293"/>
        <w:jc w:val="both"/>
      </w:pPr>
      <w:r>
        <w:rPr>
          <w:sz w:val="16"/>
        </w:rPr>
        <w:t xml:space="preserve">Tento produkt je typu CF třídy I s interní baterií pro nepřetržitý provoz. Není určen </w:t>
      </w:r>
      <w:r>
        <w:rPr>
          <w:sz w:val="16"/>
        </w:rPr>
        <w:t xml:space="preserve">k nepřetržitému osobnímu </w:t>
      </w:r>
      <w:r>
        <w:rPr>
          <w:sz w:val="16"/>
        </w:rPr>
        <w:t xml:space="preserve">nošení </w:t>
      </w:r>
      <w:r>
        <w:rPr>
          <w:sz w:val="16"/>
        </w:rPr>
        <w:t xml:space="preserve">pacientem </w:t>
      </w:r>
      <w:r>
        <w:rPr>
          <w:sz w:val="16"/>
        </w:rPr>
        <w:t xml:space="preserve">a </w:t>
      </w:r>
      <w:r>
        <w:rPr>
          <w:sz w:val="16"/>
        </w:rPr>
        <w:t xml:space="preserve">neměl by být </w:t>
      </w:r>
      <w:r>
        <w:rPr>
          <w:sz w:val="16"/>
        </w:rPr>
        <w:t xml:space="preserve">používán v </w:t>
      </w:r>
      <w:r>
        <w:rPr>
          <w:sz w:val="16"/>
        </w:rPr>
        <w:t>prostředí s hořlavým anestetickým plynem smíchaným se vzduchem nebo se směsí kyslíku nebo oxidu dusného.</w:t>
      </w:r>
    </w:p>
    <w:p>
      <w:pPr>
        <w:pStyle w:val="BodyText"/>
        <w:spacing w:before="81"/>
        <w:ind w:left="0"/>
      </w:pPr>
    </w:p>
    <w:p>
      <w:pPr>
        <w:pStyle w:val="Heading1"/>
        <w:numPr>
          <w:ilvl w:val="1"/>
          <w:numId w:val="1"/>
        </w:numPr>
        <w:tabs>
          <w:tab w:val="left" w:pos="593"/>
        </w:tabs>
        <w:spacing w:before="0" w:after="0" w:line="240" w:lineRule="auto"/>
        <w:ind w:left="593" w:right="0" w:hanging="298"/>
        <w:jc w:val="left"/>
      </w:pPr>
      <w:bookmarkStart w:id="12" w:name="2.4 Composition and Definitions of the M"/>
      <w:bookmarkEnd w:id="12"/>
      <w:bookmarkStart w:id="13" w:name="_bookmark6"/>
      <w:bookmarkEnd w:id="13"/>
      <w:r>
        <w:rPr>
          <w:sz w:val="18"/>
        </w:rPr>
        <w:t xml:space="preserve">Složení </w:t>
      </w:r>
      <w:r>
        <w:rPr>
          <w:sz w:val="18"/>
        </w:rPr>
        <w:t xml:space="preserve">a </w:t>
      </w:r>
      <w:r>
        <w:rPr>
          <w:sz w:val="18"/>
        </w:rPr>
        <w:t xml:space="preserve">definice </w:t>
      </w:r>
      <w:r>
        <w:rPr>
          <w:spacing w:val="-4"/>
          <w:sz w:val="18"/>
        </w:rPr>
        <w:t>modelu</w:t>
      </w:r>
    </w:p>
    <w:p>
      <w:pPr>
        <w:pStyle w:val="BodyText"/>
        <w:spacing w:before="1"/>
        <w:ind w:left="0"/>
        <w:rPr>
          <w:b/>
          <w:sz w:val="14"/>
        </w:rPr>
      </w:pPr>
      <w:r>
        <w:rPr>
          <w:b/>
          <w:sz w:val="14"/>
        </w:rPr>
        <w:drawing>
          <wp:anchor distT="0" distB="0" distL="0" distR="0" simplePos="0" relativeHeight="251676672" behindDoc="1" locked="0" layoutInCell="1" allowOverlap="1">
            <wp:simplePos x="0" y="0"/>
            <wp:positionH relativeFrom="page">
              <wp:posOffset>905757</wp:posOffset>
            </wp:positionH>
            <wp:positionV relativeFrom="paragraph">
              <wp:posOffset>118121</wp:posOffset>
            </wp:positionV>
            <wp:extent cx="2972607" cy="857250"/>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xmlns:r="http://schemas.openxmlformats.org/officeDocument/2006/relationships" r:embed="rId6" cstate="print"/>
                    <a:stretch>
                      <a:fillRect/>
                    </a:stretch>
                  </pic:blipFill>
                  <pic:spPr>
                    <a:xfrm>
                      <a:off x="0" y="0"/>
                      <a:ext cx="2972607" cy="857250"/>
                    </a:xfrm>
                    <a:prstGeom prst="rect">
                      <a:avLst/>
                    </a:prstGeom>
                  </pic:spPr>
                </pic:pic>
              </a:graphicData>
            </a:graphic>
          </wp:anchor>
        </w:drawing>
      </w:r>
    </w:p>
    <w:p>
      <w:pPr>
        <w:pStyle w:val="BodyText"/>
        <w:spacing w:before="6"/>
        <w:ind w:left="0"/>
        <w:rPr>
          <w:b/>
          <w:sz w:val="7"/>
        </w:rPr>
      </w:pPr>
    </w:p>
    <w:tbl>
      <w:tblPr>
        <w:tblStyle w:val="TableNormal"/>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8"/>
        <w:gridCol w:w="2562"/>
        <w:gridCol w:w="2327"/>
      </w:tblGrid>
      <w:tr>
        <w:tblPrEx>
          <w:tblW w:w="0" w:type="auto"/>
          <w:tblInd w:w="656" w:type="dxa"/>
          <w:tblLayout w:type="fixed"/>
          <w:tblLook w:val="01E0"/>
        </w:tblPrEx>
        <w:trPr>
          <w:trHeight w:val="363"/>
        </w:trPr>
        <w:tc>
          <w:tcPr>
            <w:tcW w:w="1348" w:type="dxa"/>
            <w:shd w:val="clear" w:color="auto" w:fill="99CCFF"/>
          </w:tcPr>
          <w:p>
            <w:pPr>
              <w:pStyle w:val="TableParagraph"/>
              <w:spacing w:before="86"/>
              <w:ind w:left="438"/>
              <w:rPr>
                <w:sz w:val="18"/>
              </w:rPr>
            </w:pPr>
            <w:r>
              <w:rPr>
                <w:spacing w:val="-2"/>
                <w:sz w:val="16"/>
              </w:rPr>
              <w:t>Model</w:t>
            </w:r>
          </w:p>
        </w:tc>
        <w:tc>
          <w:tcPr>
            <w:tcW w:w="2562" w:type="dxa"/>
            <w:shd w:val="clear" w:color="auto" w:fill="99CCFF"/>
          </w:tcPr>
          <w:p>
            <w:pPr>
              <w:pStyle w:val="TableParagraph"/>
              <w:spacing w:before="86"/>
              <w:ind w:left="8"/>
              <w:jc w:val="center"/>
              <w:rPr>
                <w:sz w:val="18"/>
              </w:rPr>
            </w:pPr>
            <w:r>
              <w:rPr>
                <w:spacing w:val="-4"/>
                <w:sz w:val="16"/>
              </w:rPr>
              <w:t>HK-400Ⅲ</w:t>
            </w:r>
          </w:p>
        </w:tc>
        <w:tc>
          <w:tcPr>
            <w:tcW w:w="2327" w:type="dxa"/>
            <w:shd w:val="clear" w:color="auto" w:fill="99CCFF"/>
          </w:tcPr>
          <w:p>
            <w:pPr>
              <w:pStyle w:val="TableParagraph"/>
              <w:spacing w:before="86"/>
              <w:ind w:left="8"/>
              <w:jc w:val="center"/>
              <w:rPr>
                <w:sz w:val="18"/>
              </w:rPr>
            </w:pPr>
            <w:r>
              <w:rPr>
                <w:spacing w:val="-2"/>
                <w:sz w:val="16"/>
              </w:rPr>
              <w:t>Vlastnosti</w:t>
            </w:r>
          </w:p>
        </w:tc>
      </w:tr>
      <w:tr>
        <w:tblPrEx>
          <w:tblW w:w="0" w:type="auto"/>
          <w:tblInd w:w="656" w:type="dxa"/>
          <w:tblLayout w:type="fixed"/>
          <w:tblLook w:val="01E0"/>
        </w:tblPrEx>
        <w:trPr>
          <w:trHeight w:val="340"/>
        </w:trPr>
        <w:tc>
          <w:tcPr>
            <w:tcW w:w="1348" w:type="dxa"/>
            <w:vMerge w:val="restart"/>
            <w:textDirection w:val="tbRl"/>
          </w:tcPr>
          <w:p>
            <w:pPr>
              <w:pStyle w:val="TableParagraph"/>
              <w:rPr>
                <w:b/>
                <w:sz w:val="18"/>
              </w:rPr>
            </w:pPr>
          </w:p>
          <w:p>
            <w:pPr>
              <w:pStyle w:val="TableParagraph"/>
              <w:spacing w:before="147"/>
              <w:rPr>
                <w:b/>
                <w:sz w:val="18"/>
              </w:rPr>
            </w:pPr>
          </w:p>
          <w:p>
            <w:pPr>
              <w:pStyle w:val="TableParagraph"/>
              <w:ind w:left="419"/>
              <w:rPr>
                <w:sz w:val="18"/>
              </w:rPr>
            </w:pPr>
            <w:r>
              <w:rPr>
                <w:spacing w:val="-2"/>
                <w:sz w:val="16"/>
              </w:rPr>
              <w:t xml:space="preserve">Režimy </w:t>
            </w:r>
            <w:r>
              <w:rPr>
                <w:sz w:val="16"/>
              </w:rPr>
              <w:t>injekce</w:t>
            </w:r>
          </w:p>
        </w:tc>
        <w:tc>
          <w:tcPr>
            <w:tcW w:w="2562" w:type="dxa"/>
            <w:tcBorders>
              <w:bottom w:val="nil"/>
            </w:tcBorders>
          </w:tcPr>
          <w:p>
            <w:pPr>
              <w:pStyle w:val="TableParagraph"/>
              <w:spacing w:before="86"/>
              <w:ind w:left="503"/>
              <w:rPr>
                <w:sz w:val="18"/>
              </w:rPr>
            </w:pPr>
            <w:r>
              <w:rPr>
                <w:sz w:val="16"/>
              </w:rPr>
              <w:t xml:space="preserve">1. </w:t>
            </w:r>
            <w:r>
              <w:rPr>
                <w:spacing w:val="-4"/>
                <w:sz w:val="16"/>
              </w:rPr>
              <w:t xml:space="preserve">Režim </w:t>
            </w:r>
            <w:r>
              <w:rPr>
                <w:sz w:val="16"/>
              </w:rPr>
              <w:t>rychlosti</w:t>
            </w:r>
          </w:p>
        </w:tc>
        <w:tc>
          <w:tcPr>
            <w:tcW w:w="2327" w:type="dxa"/>
            <w:tcBorders>
              <w:bottom w:val="nil"/>
            </w:tcBorders>
          </w:tcPr>
          <w:p>
            <w:pPr>
              <w:pStyle w:val="TableParagraph"/>
              <w:rPr>
                <w:sz w:val="18"/>
              </w:rPr>
            </w:pPr>
          </w:p>
        </w:tc>
      </w:tr>
      <w:tr>
        <w:tblPrEx>
          <w:tblW w:w="0" w:type="auto"/>
          <w:tblInd w:w="656" w:type="dxa"/>
          <w:tblLayout w:type="fixed"/>
          <w:tblLook w:val="01E0"/>
        </w:tblPrEx>
        <w:trPr>
          <w:trHeight w:val="291"/>
        </w:trPr>
        <w:tc>
          <w:tcPr>
            <w:tcW w:w="1348" w:type="dxa"/>
            <w:vMerge/>
            <w:tcBorders>
              <w:top w:val="nil"/>
            </w:tcBorders>
            <w:textDirection w:val="tbRl"/>
          </w:tcPr>
          <w:p>
            <w:pPr>
              <w:rPr>
                <w:sz w:val="2"/>
                <w:szCs w:val="2"/>
              </w:rPr>
            </w:pPr>
          </w:p>
        </w:tc>
        <w:tc>
          <w:tcPr>
            <w:tcW w:w="2562" w:type="dxa"/>
            <w:tcBorders>
              <w:top w:val="nil"/>
              <w:bottom w:val="nil"/>
            </w:tcBorders>
          </w:tcPr>
          <w:p>
            <w:pPr>
              <w:pStyle w:val="TableParagraph"/>
              <w:spacing w:before="39"/>
              <w:ind w:left="503"/>
              <w:rPr>
                <w:sz w:val="18"/>
              </w:rPr>
            </w:pPr>
            <w:r>
              <w:rPr>
                <w:sz w:val="16"/>
              </w:rPr>
              <w:t xml:space="preserve">2. </w:t>
            </w:r>
            <w:r>
              <w:rPr>
                <w:spacing w:val="-4"/>
                <w:sz w:val="16"/>
              </w:rPr>
              <w:t xml:space="preserve">Režim </w:t>
            </w:r>
            <w:r>
              <w:rPr>
                <w:sz w:val="16"/>
              </w:rPr>
              <w:t>času</w:t>
            </w:r>
          </w:p>
        </w:tc>
        <w:tc>
          <w:tcPr>
            <w:tcW w:w="2327" w:type="dxa"/>
            <w:tcBorders>
              <w:top w:val="nil"/>
              <w:bottom w:val="nil"/>
            </w:tcBorders>
          </w:tcPr>
          <w:p>
            <w:pPr>
              <w:pStyle w:val="TableParagraph"/>
              <w:rPr>
                <w:sz w:val="18"/>
              </w:rPr>
            </w:pPr>
          </w:p>
        </w:tc>
      </w:tr>
      <w:tr>
        <w:tblPrEx>
          <w:tblW w:w="0" w:type="auto"/>
          <w:tblInd w:w="656" w:type="dxa"/>
          <w:tblLayout w:type="fixed"/>
          <w:tblLook w:val="01E0"/>
        </w:tblPrEx>
        <w:trPr>
          <w:trHeight w:val="593"/>
        </w:trPr>
        <w:tc>
          <w:tcPr>
            <w:tcW w:w="1348" w:type="dxa"/>
            <w:vMerge/>
            <w:tcBorders>
              <w:top w:val="nil"/>
            </w:tcBorders>
            <w:textDirection w:val="tbRl"/>
          </w:tcPr>
          <w:p>
            <w:pPr>
              <w:rPr>
                <w:sz w:val="2"/>
                <w:szCs w:val="2"/>
              </w:rPr>
            </w:pPr>
          </w:p>
        </w:tc>
        <w:tc>
          <w:tcPr>
            <w:tcW w:w="2562" w:type="dxa"/>
            <w:tcBorders>
              <w:top w:val="nil"/>
              <w:bottom w:val="nil"/>
            </w:tcBorders>
          </w:tcPr>
          <w:p>
            <w:pPr>
              <w:pStyle w:val="TableParagraph"/>
              <w:numPr>
                <w:ilvl w:val="0"/>
                <w:numId w:val="41"/>
              </w:numPr>
              <w:tabs>
                <w:tab w:val="left" w:pos="682"/>
              </w:tabs>
              <w:spacing w:before="37" w:after="0" w:line="240" w:lineRule="auto"/>
              <w:ind w:left="682" w:right="0" w:hanging="179"/>
              <w:jc w:val="left"/>
              <w:rPr>
                <w:sz w:val="18"/>
              </w:rPr>
            </w:pPr>
            <w:r>
              <w:rPr>
                <w:spacing w:val="-4"/>
                <w:sz w:val="16"/>
              </w:rPr>
              <w:t xml:space="preserve">Režim </w:t>
            </w:r>
            <w:r>
              <w:rPr>
                <w:spacing w:val="-2"/>
                <w:sz w:val="16"/>
              </w:rPr>
              <w:t>hmotnosti</w:t>
            </w:r>
          </w:p>
          <w:p>
            <w:pPr>
              <w:pStyle w:val="TableParagraph"/>
              <w:numPr>
                <w:ilvl w:val="0"/>
                <w:numId w:val="41"/>
              </w:numPr>
              <w:tabs>
                <w:tab w:val="left" w:pos="682"/>
              </w:tabs>
              <w:spacing w:before="96" w:after="0" w:line="240" w:lineRule="auto"/>
              <w:ind w:left="682" w:right="0" w:hanging="179"/>
              <w:jc w:val="left"/>
              <w:rPr>
                <w:sz w:val="18"/>
              </w:rPr>
            </w:pPr>
            <w:r>
              <w:rPr>
                <w:spacing w:val="-2"/>
                <w:sz w:val="16"/>
              </w:rPr>
              <w:t>Přerušovaný</w:t>
            </w:r>
          </w:p>
        </w:tc>
        <w:tc>
          <w:tcPr>
            <w:tcW w:w="2327" w:type="dxa"/>
            <w:tcBorders>
              <w:top w:val="nil"/>
              <w:bottom w:val="nil"/>
            </w:tcBorders>
          </w:tcPr>
          <w:p>
            <w:pPr>
              <w:pStyle w:val="TableParagraph"/>
              <w:spacing w:before="69"/>
              <w:ind w:left="84"/>
              <w:rPr>
                <w:sz w:val="18"/>
              </w:rPr>
            </w:pPr>
            <w:r>
              <w:rPr>
                <w:sz w:val="16"/>
              </w:rPr>
              <w:t xml:space="preserve">Lze </w:t>
            </w:r>
            <w:r>
              <w:rPr>
                <w:sz w:val="16"/>
              </w:rPr>
              <w:t xml:space="preserve">stohovat </w:t>
            </w:r>
            <w:r>
              <w:rPr>
                <w:spacing w:val="-5"/>
                <w:sz w:val="16"/>
              </w:rPr>
              <w:t>pro</w:t>
            </w:r>
          </w:p>
          <w:p>
            <w:pPr>
              <w:pStyle w:val="TableParagraph"/>
              <w:spacing w:before="33"/>
              <w:ind w:left="84"/>
              <w:rPr>
                <w:sz w:val="18"/>
              </w:rPr>
            </w:pPr>
            <w:r>
              <w:rPr>
                <w:spacing w:val="-4"/>
                <w:sz w:val="16"/>
              </w:rPr>
              <w:t xml:space="preserve">použití </w:t>
            </w:r>
            <w:r>
              <w:rPr>
                <w:sz w:val="16"/>
              </w:rPr>
              <w:t xml:space="preserve">vícekanálového </w:t>
            </w:r>
            <w:r>
              <w:rPr>
                <w:sz w:val="16"/>
              </w:rPr>
              <w:t>čerpadla</w:t>
            </w:r>
            <w:r>
              <w:rPr>
                <w:spacing w:val="-4"/>
                <w:sz w:val="16"/>
              </w:rPr>
              <w:t>.</w:t>
            </w:r>
          </w:p>
        </w:tc>
      </w:tr>
      <w:tr>
        <w:tblPrEx>
          <w:tblW w:w="0" w:type="auto"/>
          <w:tblInd w:w="656" w:type="dxa"/>
          <w:tblLayout w:type="fixed"/>
          <w:tblLook w:val="01E0"/>
        </w:tblPrEx>
        <w:trPr>
          <w:trHeight w:val="292"/>
        </w:trPr>
        <w:tc>
          <w:tcPr>
            <w:tcW w:w="1348" w:type="dxa"/>
            <w:vMerge/>
            <w:tcBorders>
              <w:top w:val="nil"/>
            </w:tcBorders>
            <w:textDirection w:val="tbRl"/>
          </w:tcPr>
          <w:p>
            <w:pPr>
              <w:rPr>
                <w:sz w:val="2"/>
                <w:szCs w:val="2"/>
              </w:rPr>
            </w:pPr>
          </w:p>
        </w:tc>
        <w:tc>
          <w:tcPr>
            <w:tcW w:w="2562" w:type="dxa"/>
            <w:tcBorders>
              <w:top w:val="nil"/>
              <w:bottom w:val="nil"/>
            </w:tcBorders>
          </w:tcPr>
          <w:p>
            <w:pPr>
              <w:pStyle w:val="TableParagraph"/>
              <w:spacing w:before="39"/>
              <w:ind w:left="503"/>
              <w:rPr>
                <w:sz w:val="18"/>
              </w:rPr>
            </w:pPr>
            <w:r>
              <w:rPr>
                <w:sz w:val="16"/>
              </w:rPr>
              <w:t xml:space="preserve">5. </w:t>
            </w:r>
            <w:r>
              <w:rPr>
                <w:spacing w:val="-5"/>
                <w:sz w:val="16"/>
              </w:rPr>
              <w:t>Lib.</w:t>
            </w:r>
          </w:p>
        </w:tc>
        <w:tc>
          <w:tcPr>
            <w:tcW w:w="2327" w:type="dxa"/>
            <w:tcBorders>
              <w:top w:val="nil"/>
              <w:bottom w:val="nil"/>
            </w:tcBorders>
          </w:tcPr>
          <w:p>
            <w:pPr>
              <w:pStyle w:val="TableParagraph"/>
              <w:rPr>
                <w:sz w:val="18"/>
              </w:rPr>
            </w:pPr>
          </w:p>
        </w:tc>
      </w:tr>
      <w:tr>
        <w:tblPrEx>
          <w:tblW w:w="0" w:type="auto"/>
          <w:tblInd w:w="656" w:type="dxa"/>
          <w:tblLayout w:type="fixed"/>
          <w:tblLook w:val="01E0"/>
        </w:tblPrEx>
        <w:trPr>
          <w:trHeight w:val="316"/>
        </w:trPr>
        <w:tc>
          <w:tcPr>
            <w:tcW w:w="1348" w:type="dxa"/>
            <w:vMerge/>
            <w:tcBorders>
              <w:top w:val="nil"/>
            </w:tcBorders>
            <w:textDirection w:val="tbRl"/>
          </w:tcPr>
          <w:p>
            <w:pPr>
              <w:rPr>
                <w:sz w:val="2"/>
                <w:szCs w:val="2"/>
              </w:rPr>
            </w:pPr>
          </w:p>
        </w:tc>
        <w:tc>
          <w:tcPr>
            <w:tcW w:w="2562" w:type="dxa"/>
            <w:tcBorders>
              <w:top w:val="nil"/>
            </w:tcBorders>
          </w:tcPr>
          <w:p>
            <w:pPr>
              <w:pStyle w:val="TableParagraph"/>
              <w:spacing w:before="39"/>
              <w:ind w:left="503"/>
              <w:rPr>
                <w:sz w:val="18"/>
              </w:rPr>
            </w:pPr>
            <w:r>
              <w:rPr>
                <w:spacing w:val="-4"/>
                <w:sz w:val="16"/>
              </w:rPr>
              <w:t xml:space="preserve">6. </w:t>
            </w:r>
            <w:r>
              <w:rPr>
                <w:spacing w:val="-4"/>
                <w:sz w:val="16"/>
              </w:rPr>
              <w:t xml:space="preserve">Režim </w:t>
            </w:r>
            <w:r>
              <w:rPr>
                <w:spacing w:val="-4"/>
                <w:sz w:val="16"/>
              </w:rPr>
              <w:t>TIVA</w:t>
            </w:r>
          </w:p>
        </w:tc>
        <w:tc>
          <w:tcPr>
            <w:tcW w:w="2327" w:type="dxa"/>
            <w:tcBorders>
              <w:top w:val="nil"/>
            </w:tcBorders>
          </w:tcPr>
          <w:p>
            <w:pPr>
              <w:pStyle w:val="TableParagraph"/>
              <w:rPr>
                <w:sz w:val="18"/>
              </w:rPr>
            </w:pPr>
          </w:p>
        </w:tc>
      </w:tr>
    </w:tbl>
    <w:p>
      <w:pPr>
        <w:pStyle w:val="TableParagraph"/>
        <w:spacing w:after="0"/>
        <w:rPr>
          <w:sz w:val="18"/>
        </w:rPr>
        <w:sectPr>
          <w:pgSz w:w="8390" w:h="11910"/>
          <w:pgMar w:top="640" w:right="425" w:bottom="540" w:left="425" w:header="0" w:footer="342"/>
          <w:cols w:space="708"/>
        </w:sectPr>
      </w:pPr>
    </w:p>
    <w:p>
      <w:pPr>
        <w:pStyle w:val="Heading1"/>
        <w:numPr>
          <w:ilvl w:val="1"/>
          <w:numId w:val="1"/>
        </w:numPr>
        <w:tabs>
          <w:tab w:val="left" w:pos="593"/>
        </w:tabs>
        <w:spacing w:before="72" w:after="0" w:line="240" w:lineRule="auto"/>
        <w:ind w:left="593" w:right="0" w:hanging="298"/>
        <w:jc w:val="left"/>
      </w:pPr>
      <w:bookmarkStart w:id="14" w:name="2.5 Environmental Conditions for Use"/>
      <w:bookmarkEnd w:id="14"/>
      <w:bookmarkStart w:id="15" w:name="_bookmark7"/>
      <w:bookmarkEnd w:id="15"/>
      <w:r>
        <w:rPr>
          <w:sz w:val="18"/>
        </w:rPr>
        <w:t>Pro</w:t>
      </w:r>
      <w:r>
        <w:rPr>
          <w:spacing w:val="-5"/>
          <w:sz w:val="18"/>
        </w:rPr>
        <w:t>voz</w:t>
      </w:r>
      <w:r>
        <w:rPr>
          <w:sz w:val="18"/>
        </w:rPr>
        <w:t xml:space="preserve">ní </w:t>
      </w:r>
      <w:r>
        <w:rPr>
          <w:sz w:val="18"/>
        </w:rPr>
        <w:t>teplota</w:t>
      </w:r>
    </w:p>
    <w:p>
      <w:pPr>
        <w:pStyle w:val="ListParagraph"/>
        <w:numPr>
          <w:ilvl w:val="0"/>
          <w:numId w:val="40"/>
        </w:numPr>
        <w:tabs>
          <w:tab w:val="left" w:pos="473"/>
        </w:tabs>
        <w:spacing w:before="180" w:after="0" w:line="240" w:lineRule="auto"/>
        <w:ind w:left="473" w:right="0" w:hanging="178"/>
        <w:jc w:val="left"/>
        <w:rPr>
          <w:sz w:val="18"/>
        </w:rPr>
      </w:pPr>
      <w:r>
        <w:rPr>
          <w:spacing w:val="-2"/>
          <w:w w:val="105"/>
          <w:sz w:val="16"/>
        </w:rPr>
        <w:t>Teplota:</w:t>
      </w:r>
      <w:r>
        <w:rPr>
          <w:spacing w:val="-5"/>
          <w:w w:val="105"/>
          <w:sz w:val="16"/>
        </w:rPr>
        <w:t xml:space="preserve"> 5 °C–40 °C</w:t>
      </w:r>
    </w:p>
    <w:p>
      <w:pPr>
        <w:pStyle w:val="ListParagraph"/>
        <w:numPr>
          <w:ilvl w:val="0"/>
          <w:numId w:val="40"/>
        </w:numPr>
        <w:tabs>
          <w:tab w:val="left" w:pos="488"/>
        </w:tabs>
        <w:spacing w:before="189" w:after="0" w:line="240" w:lineRule="auto"/>
        <w:ind w:left="488" w:right="0" w:hanging="193"/>
        <w:jc w:val="left"/>
        <w:rPr>
          <w:sz w:val="18"/>
        </w:rPr>
      </w:pPr>
      <w:r>
        <w:rPr>
          <w:sz w:val="16"/>
        </w:rPr>
        <w:t xml:space="preserve">Relativní </w:t>
      </w:r>
      <w:r>
        <w:rPr>
          <w:sz w:val="16"/>
        </w:rPr>
        <w:t>vlhkost:</w:t>
      </w:r>
      <w:r>
        <w:rPr>
          <w:spacing w:val="-5"/>
          <w:sz w:val="16"/>
        </w:rPr>
        <w:t xml:space="preserve"> 10 %–95 %</w:t>
      </w:r>
    </w:p>
    <w:p>
      <w:pPr>
        <w:pStyle w:val="ListParagraph"/>
        <w:numPr>
          <w:ilvl w:val="0"/>
          <w:numId w:val="40"/>
        </w:numPr>
        <w:tabs>
          <w:tab w:val="left" w:pos="466"/>
        </w:tabs>
        <w:spacing w:before="96" w:after="0" w:line="240" w:lineRule="auto"/>
        <w:ind w:left="466" w:right="0" w:hanging="171"/>
        <w:jc w:val="left"/>
        <w:rPr>
          <w:sz w:val="18"/>
        </w:rPr>
      </w:pPr>
      <w:r>
        <w:rPr>
          <w:sz w:val="16"/>
        </w:rPr>
        <w:t xml:space="preserve">Atmosférický </w:t>
      </w:r>
      <w:r>
        <w:rPr>
          <w:sz w:val="16"/>
        </w:rPr>
        <w:t>tlak:</w:t>
      </w:r>
      <w:r>
        <w:rPr>
          <w:spacing w:val="-2"/>
          <w:sz w:val="16"/>
        </w:rPr>
        <w:t xml:space="preserve"> 86,0 kPa</w:t>
      </w:r>
      <w:r>
        <w:rPr>
          <w:rFonts w:ascii="Noto Sans CJK JP" w:eastAsia="Noto Sans CJK JP"/>
          <w:spacing w:val="-2"/>
          <w:sz w:val="16"/>
        </w:rPr>
        <w:t>～</w:t>
      </w:r>
      <w:r>
        <w:rPr>
          <w:spacing w:val="-2"/>
          <w:sz w:val="16"/>
        </w:rPr>
        <w:t>106,0 kPa</w:t>
      </w:r>
    </w:p>
    <w:p>
      <w:pPr>
        <w:pStyle w:val="BodyText"/>
        <w:spacing w:before="50"/>
        <w:ind w:left="0"/>
      </w:pPr>
    </w:p>
    <w:p>
      <w:pPr>
        <w:pStyle w:val="Heading1"/>
        <w:numPr>
          <w:ilvl w:val="1"/>
          <w:numId w:val="1"/>
        </w:numPr>
        <w:tabs>
          <w:tab w:val="left" w:pos="593"/>
        </w:tabs>
        <w:spacing w:before="0" w:after="0" w:line="240" w:lineRule="auto"/>
        <w:ind w:left="593" w:right="0" w:hanging="298"/>
        <w:jc w:val="left"/>
      </w:pPr>
      <w:bookmarkStart w:id="16" w:name="2.6 Intended Operators"/>
      <w:bookmarkEnd w:id="16"/>
      <w:bookmarkStart w:id="17" w:name="_bookmark8"/>
      <w:bookmarkEnd w:id="17"/>
      <w:r>
        <w:rPr>
          <w:sz w:val="18"/>
        </w:rPr>
        <w:t xml:space="preserve">Určení </w:t>
      </w:r>
      <w:r>
        <w:rPr>
          <w:spacing w:val="-2"/>
          <w:sz w:val="18"/>
        </w:rPr>
        <w:t>obsluhy</w:t>
      </w:r>
    </w:p>
    <w:p>
      <w:pPr>
        <w:pStyle w:val="BodyText"/>
        <w:spacing w:before="149" w:line="278" w:lineRule="auto"/>
      </w:pPr>
      <w:r>
        <w:rPr>
          <w:sz w:val="16"/>
        </w:rPr>
        <w:t xml:space="preserve">Čerpadlo </w:t>
      </w:r>
      <w:r>
        <w:rPr>
          <w:sz w:val="16"/>
        </w:rPr>
        <w:t xml:space="preserve">musí </w:t>
      </w:r>
      <w:r>
        <w:rPr>
          <w:sz w:val="16"/>
        </w:rPr>
        <w:t xml:space="preserve">být </w:t>
      </w:r>
      <w:r>
        <w:rPr>
          <w:sz w:val="16"/>
        </w:rPr>
        <w:t xml:space="preserve">obsluhováno </w:t>
      </w:r>
      <w:r>
        <w:rPr>
          <w:sz w:val="16"/>
        </w:rPr>
        <w:t xml:space="preserve">nebo </w:t>
      </w:r>
      <w:r>
        <w:rPr>
          <w:sz w:val="16"/>
        </w:rPr>
        <w:t xml:space="preserve">pod </w:t>
      </w:r>
      <w:r>
        <w:rPr>
          <w:sz w:val="16"/>
        </w:rPr>
        <w:t xml:space="preserve">dohledem </w:t>
      </w:r>
      <w:r>
        <w:rPr>
          <w:sz w:val="16"/>
        </w:rPr>
        <w:t xml:space="preserve">klinicky </w:t>
      </w:r>
      <w:r>
        <w:rPr>
          <w:sz w:val="16"/>
        </w:rPr>
        <w:t xml:space="preserve">vyškolených </w:t>
      </w:r>
      <w:r>
        <w:rPr>
          <w:sz w:val="16"/>
        </w:rPr>
        <w:t xml:space="preserve">a </w:t>
      </w:r>
      <w:r>
        <w:rPr>
          <w:sz w:val="16"/>
        </w:rPr>
        <w:t>kvalifikovaných techniků, kteří absolvovali školení týkající se používání tohoto zařízení.</w:t>
      </w:r>
    </w:p>
    <w:p>
      <w:pPr>
        <w:pStyle w:val="BodyText"/>
        <w:spacing w:before="81"/>
        <w:ind w:left="0"/>
      </w:pPr>
    </w:p>
    <w:p>
      <w:pPr>
        <w:pStyle w:val="Heading1"/>
        <w:numPr>
          <w:ilvl w:val="1"/>
          <w:numId w:val="1"/>
        </w:numPr>
        <w:tabs>
          <w:tab w:val="left" w:pos="593"/>
        </w:tabs>
        <w:spacing w:before="0" w:after="0" w:line="240" w:lineRule="auto"/>
        <w:ind w:left="593" w:right="0" w:hanging="298"/>
        <w:jc w:val="left"/>
      </w:pPr>
      <w:bookmarkStart w:id="18" w:name="2.7 Impact on the Environment and Energy"/>
      <w:bookmarkEnd w:id="18"/>
      <w:bookmarkStart w:id="19" w:name="_bookmark9"/>
      <w:bookmarkEnd w:id="19"/>
      <w:r>
        <w:rPr>
          <w:sz w:val="18"/>
        </w:rPr>
        <w:t xml:space="preserve">Dopad </w:t>
      </w:r>
      <w:r>
        <w:rPr>
          <w:sz w:val="18"/>
        </w:rPr>
        <w:t xml:space="preserve">na </w:t>
      </w:r>
      <w:r>
        <w:rPr>
          <w:sz w:val="18"/>
        </w:rPr>
        <w:t xml:space="preserve">životní </w:t>
      </w:r>
      <w:r>
        <w:rPr>
          <w:sz w:val="18"/>
        </w:rPr>
        <w:t xml:space="preserve">prostředí </w:t>
      </w:r>
      <w:r>
        <w:rPr>
          <w:sz w:val="18"/>
        </w:rPr>
        <w:t xml:space="preserve">a </w:t>
      </w:r>
      <w:r>
        <w:rPr>
          <w:spacing w:val="-2"/>
          <w:sz w:val="18"/>
        </w:rPr>
        <w:t>energii</w:t>
      </w:r>
    </w:p>
    <w:p>
      <w:pPr>
        <w:pStyle w:val="BodyText"/>
        <w:spacing w:before="149" w:line="278" w:lineRule="auto"/>
        <w:ind w:right="353"/>
      </w:pPr>
      <w:r>
        <w:rPr>
          <w:sz w:val="16"/>
        </w:rPr>
        <w:t xml:space="preserve">Toto injekční čerpadlo může vyzařovat určité množství elektromagnetického záření, které by mohlo rušit jiné zařízení. Pokud k takové situaci dojde, </w:t>
      </w:r>
      <w:r>
        <w:rPr>
          <w:sz w:val="16"/>
        </w:rPr>
        <w:t xml:space="preserve">je </w:t>
      </w:r>
      <w:r>
        <w:rPr>
          <w:sz w:val="16"/>
        </w:rPr>
        <w:t xml:space="preserve">třeba přijmout </w:t>
      </w:r>
      <w:r>
        <w:rPr>
          <w:sz w:val="16"/>
        </w:rPr>
        <w:t xml:space="preserve">vhodná opatření </w:t>
      </w:r>
      <w:r>
        <w:rPr>
          <w:sz w:val="16"/>
        </w:rPr>
        <w:t xml:space="preserve">k </w:t>
      </w:r>
      <w:r>
        <w:rPr>
          <w:sz w:val="16"/>
        </w:rPr>
        <w:t xml:space="preserve">omezení </w:t>
      </w:r>
      <w:r>
        <w:rPr>
          <w:sz w:val="16"/>
        </w:rPr>
        <w:t xml:space="preserve">rušení, </w:t>
      </w:r>
      <w:r>
        <w:rPr>
          <w:sz w:val="16"/>
        </w:rPr>
        <w:t xml:space="preserve">například </w:t>
      </w:r>
      <w:r>
        <w:rPr>
          <w:sz w:val="16"/>
        </w:rPr>
        <w:t xml:space="preserve">přemístit </w:t>
      </w:r>
      <w:r>
        <w:rPr>
          <w:sz w:val="16"/>
        </w:rPr>
        <w:t xml:space="preserve">injekční </w:t>
      </w:r>
      <w:r>
        <w:rPr>
          <w:sz w:val="16"/>
        </w:rPr>
        <w:t xml:space="preserve">čerpadlo </w:t>
      </w:r>
      <w:r>
        <w:rPr>
          <w:sz w:val="16"/>
        </w:rPr>
        <w:t xml:space="preserve">nebo </w:t>
      </w:r>
      <w:r>
        <w:rPr>
          <w:sz w:val="16"/>
        </w:rPr>
        <w:t xml:space="preserve">napájet jej z jiného místa. Další informace naleznete v </w:t>
      </w:r>
      <w:r>
        <w:rPr>
          <w:sz w:val="16"/>
        </w:rPr>
        <w:t>příloze 1 „Informace o elektromagnetické kompatibilitě (EMC)“ v této příručce.</w:t>
      </w:r>
    </w:p>
    <w:p>
      <w:pPr>
        <w:pStyle w:val="BodyText"/>
        <w:spacing w:before="81"/>
        <w:ind w:left="0"/>
      </w:pPr>
    </w:p>
    <w:p>
      <w:pPr>
        <w:pStyle w:val="Heading1"/>
        <w:numPr>
          <w:ilvl w:val="1"/>
          <w:numId w:val="1"/>
        </w:numPr>
        <w:tabs>
          <w:tab w:val="left" w:pos="593"/>
        </w:tabs>
        <w:spacing w:before="0" w:after="0" w:line="240" w:lineRule="auto"/>
        <w:ind w:left="593" w:right="0" w:hanging="298"/>
        <w:jc w:val="left"/>
      </w:pPr>
      <w:bookmarkStart w:id="20" w:name="2.8 Date of Manufacture and Service Life"/>
      <w:bookmarkEnd w:id="20"/>
      <w:bookmarkStart w:id="21" w:name="_bookmark10"/>
      <w:bookmarkEnd w:id="21"/>
      <w:r>
        <w:rPr>
          <w:sz w:val="18"/>
        </w:rPr>
        <w:t xml:space="preserve">Datum </w:t>
      </w:r>
      <w:r>
        <w:rPr>
          <w:sz w:val="18"/>
        </w:rPr>
        <w:t xml:space="preserve">výroby </w:t>
      </w:r>
      <w:r>
        <w:rPr>
          <w:sz w:val="18"/>
        </w:rPr>
        <w:t xml:space="preserve">a </w:t>
      </w:r>
      <w:r>
        <w:rPr>
          <w:spacing w:val="-4"/>
          <w:sz w:val="18"/>
        </w:rPr>
        <w:t>životnost</w:t>
      </w:r>
    </w:p>
    <w:p>
      <w:pPr>
        <w:pStyle w:val="BodyText"/>
        <w:spacing w:before="180" w:line="256" w:lineRule="auto"/>
        <w:rPr>
          <w:sz w:val="20"/>
        </w:rPr>
      </w:pPr>
      <w:r>
        <w:rPr>
          <w:sz w:val="16"/>
        </w:rPr>
        <w:t xml:space="preserve">Celé </w:t>
      </w:r>
      <w:r>
        <w:rPr>
          <w:sz w:val="16"/>
        </w:rPr>
        <w:t xml:space="preserve">zařízení </w:t>
      </w:r>
      <w:r>
        <w:rPr>
          <w:sz w:val="16"/>
        </w:rPr>
        <w:t xml:space="preserve">této </w:t>
      </w:r>
      <w:r>
        <w:rPr>
          <w:sz w:val="16"/>
        </w:rPr>
        <w:t xml:space="preserve">injekční </w:t>
      </w:r>
      <w:r>
        <w:rPr>
          <w:sz w:val="16"/>
        </w:rPr>
        <w:t xml:space="preserve">pumpy </w:t>
      </w:r>
      <w:r>
        <w:rPr>
          <w:sz w:val="16"/>
        </w:rPr>
        <w:t xml:space="preserve">(kromě </w:t>
      </w:r>
      <w:r>
        <w:rPr>
          <w:sz w:val="16"/>
        </w:rPr>
        <w:t xml:space="preserve">baterie) </w:t>
      </w:r>
      <w:r>
        <w:rPr>
          <w:sz w:val="16"/>
        </w:rPr>
        <w:t xml:space="preserve">a </w:t>
      </w:r>
      <w:r>
        <w:rPr>
          <w:sz w:val="16"/>
        </w:rPr>
        <w:t xml:space="preserve">napájecího </w:t>
      </w:r>
      <w:r>
        <w:rPr>
          <w:sz w:val="16"/>
        </w:rPr>
        <w:t xml:space="preserve">kabelu </w:t>
      </w:r>
      <w:r>
        <w:rPr>
          <w:sz w:val="16"/>
        </w:rPr>
        <w:t xml:space="preserve">má </w:t>
      </w:r>
      <w:r>
        <w:rPr>
          <w:sz w:val="16"/>
        </w:rPr>
        <w:t>běžnou životnost 8 let. Datum výroby najdete na štítku produktu</w:t>
      </w:r>
      <w:r>
        <w:rPr>
          <w:sz w:val="18"/>
        </w:rPr>
        <w:t>.</w:t>
      </w:r>
    </w:p>
    <w:p>
      <w:pPr>
        <w:pStyle w:val="BodyText"/>
        <w:spacing w:before="93"/>
        <w:ind w:left="0"/>
      </w:pPr>
    </w:p>
    <w:p>
      <w:pPr>
        <w:pStyle w:val="Heading1"/>
        <w:numPr>
          <w:ilvl w:val="1"/>
          <w:numId w:val="1"/>
        </w:numPr>
        <w:tabs>
          <w:tab w:val="left" w:pos="593"/>
        </w:tabs>
        <w:spacing w:before="1" w:after="0" w:line="240" w:lineRule="auto"/>
        <w:ind w:left="593" w:right="0" w:hanging="298"/>
        <w:jc w:val="left"/>
      </w:pPr>
      <w:bookmarkStart w:id="22" w:name="2.9 Software Version"/>
      <w:bookmarkEnd w:id="22"/>
      <w:bookmarkStart w:id="23" w:name="_bookmark11"/>
      <w:bookmarkEnd w:id="23"/>
      <w:r>
        <w:rPr>
          <w:spacing w:val="-2"/>
          <w:sz w:val="18"/>
        </w:rPr>
        <w:t xml:space="preserve">Verze </w:t>
      </w:r>
      <w:r>
        <w:rPr>
          <w:spacing w:val="-2"/>
          <w:sz w:val="18"/>
        </w:rPr>
        <w:t>softwaru</w:t>
      </w:r>
    </w:p>
    <w:p>
      <w:pPr>
        <w:pStyle w:val="BodyText"/>
        <w:spacing w:before="177"/>
      </w:pPr>
      <w:r>
        <w:rPr>
          <w:sz w:val="16"/>
        </w:rPr>
        <w:t xml:space="preserve">Verze softwaru </w:t>
      </w:r>
      <w:r>
        <w:rPr>
          <w:sz w:val="16"/>
        </w:rPr>
        <w:t xml:space="preserve">pro </w:t>
      </w:r>
      <w:r>
        <w:rPr>
          <w:sz w:val="16"/>
        </w:rPr>
        <w:t xml:space="preserve">injekční pumpu </w:t>
      </w:r>
      <w:r>
        <w:rPr>
          <w:sz w:val="16"/>
        </w:rPr>
        <w:t>odpovíd</w:t>
      </w:r>
      <w:r>
        <w:rPr>
          <w:sz w:val="16"/>
        </w:rPr>
        <w:t xml:space="preserve">ající </w:t>
      </w:r>
      <w:r>
        <w:rPr>
          <w:sz w:val="16"/>
        </w:rPr>
        <w:t xml:space="preserve">této </w:t>
      </w:r>
      <w:r>
        <w:rPr>
          <w:sz w:val="16"/>
        </w:rPr>
        <w:t xml:space="preserve">příručce </w:t>
      </w:r>
      <w:r>
        <w:rPr>
          <w:sz w:val="16"/>
        </w:rPr>
        <w:t xml:space="preserve">je </w:t>
      </w:r>
      <w:r>
        <w:rPr>
          <w:spacing w:val="-4"/>
          <w:sz w:val="16"/>
        </w:rPr>
        <w:t>V01.</w:t>
      </w:r>
    </w:p>
    <w:p>
      <w:pPr>
        <w:pStyle w:val="BodyText"/>
        <w:spacing w:before="0"/>
        <w:ind w:left="0"/>
      </w:pPr>
    </w:p>
    <w:p>
      <w:pPr>
        <w:pStyle w:val="BodyText"/>
        <w:spacing w:before="63"/>
        <w:ind w:left="0"/>
      </w:pPr>
    </w:p>
    <w:p>
      <w:pPr>
        <w:pStyle w:val="Heading1"/>
        <w:numPr>
          <w:ilvl w:val="0"/>
          <w:numId w:val="1"/>
        </w:numPr>
        <w:tabs>
          <w:tab w:val="left" w:pos="443"/>
        </w:tabs>
        <w:spacing w:before="1" w:after="0" w:line="240" w:lineRule="auto"/>
        <w:ind w:left="443" w:right="0" w:hanging="148"/>
        <w:jc w:val="left"/>
      </w:pPr>
      <w:bookmarkStart w:id="24" w:name="3.Components"/>
      <w:bookmarkEnd w:id="24"/>
      <w:bookmarkStart w:id="25" w:name="_bookmark12"/>
      <w:bookmarkEnd w:id="25"/>
      <w:r>
        <w:rPr>
          <w:spacing w:val="-2"/>
          <w:sz w:val="18"/>
        </w:rPr>
        <w:t>Součásti</w:t>
      </w:r>
    </w:p>
    <w:p>
      <w:pPr>
        <w:pStyle w:val="Heading1"/>
        <w:numPr>
          <w:ilvl w:val="1"/>
          <w:numId w:val="1"/>
        </w:numPr>
        <w:tabs>
          <w:tab w:val="left" w:pos="593"/>
        </w:tabs>
        <w:spacing w:before="62" w:after="0" w:line="240" w:lineRule="auto"/>
        <w:ind w:left="593" w:right="0" w:hanging="298"/>
        <w:jc w:val="left"/>
      </w:pPr>
      <w:bookmarkStart w:id="26" w:name="3.1 Operating Principle"/>
      <w:bookmarkEnd w:id="26"/>
      <w:bookmarkStart w:id="27" w:name="_bookmark13"/>
      <w:bookmarkEnd w:id="27"/>
      <w:r>
        <w:rPr>
          <w:spacing w:val="-2"/>
          <w:sz w:val="18"/>
        </w:rPr>
        <w:t xml:space="preserve">Princip </w:t>
      </w:r>
      <w:r>
        <w:rPr>
          <w:sz w:val="18"/>
        </w:rPr>
        <w:t>fungování</w:t>
      </w:r>
    </w:p>
    <w:p>
      <w:pPr>
        <w:pStyle w:val="BodyText"/>
        <w:spacing w:before="180" w:line="278" w:lineRule="auto"/>
        <w:ind w:right="293"/>
        <w:jc w:val="both"/>
      </w:pPr>
      <w:r>
        <w:rPr>
          <w:sz w:val="16"/>
        </w:rPr>
        <w:t>Toto injekční čerpadlo je zdravotnický prostředek, který využívá hnací sílu motoru k přeměně rotačního pohybu na lineární pohyb pomocí šroubového mechanismu, který pohání píst injekční stříkačky k podávání léků do lidského těla.</w:t>
      </w:r>
    </w:p>
    <w:p>
      <w:pPr>
        <w:pStyle w:val="BodyText"/>
        <w:spacing w:before="81"/>
        <w:ind w:left="0"/>
      </w:pPr>
    </w:p>
    <w:p>
      <w:pPr>
        <w:pStyle w:val="Heading1"/>
        <w:numPr>
          <w:ilvl w:val="1"/>
          <w:numId w:val="1"/>
        </w:numPr>
        <w:tabs>
          <w:tab w:val="left" w:pos="593"/>
        </w:tabs>
        <w:spacing w:before="1" w:after="0" w:line="240" w:lineRule="auto"/>
        <w:ind w:left="593" w:right="0" w:hanging="298"/>
        <w:jc w:val="left"/>
      </w:pPr>
      <w:bookmarkStart w:id="28" w:name="3.2 Components"/>
      <w:bookmarkEnd w:id="28"/>
      <w:bookmarkStart w:id="29" w:name="_bookmark14"/>
      <w:bookmarkEnd w:id="29"/>
      <w:r>
        <w:rPr>
          <w:spacing w:val="-2"/>
          <w:sz w:val="18"/>
        </w:rPr>
        <w:t>Součásti</w:t>
      </w:r>
    </w:p>
    <w:p>
      <w:pPr>
        <w:pStyle w:val="BodyText"/>
        <w:spacing w:before="179" w:line="278" w:lineRule="auto"/>
        <w:ind w:right="295"/>
        <w:jc w:val="both"/>
      </w:pPr>
      <w:r>
        <w:rPr>
          <w:sz w:val="16"/>
        </w:rPr>
        <w:t>Injekční pumpa se skládá především z pěti částí: mikropočítačového systému, čerpacího mechanismu, detekčního zařízení, alarmového systému a rozhraní člověk-stroj.</w:t>
      </w:r>
    </w:p>
    <w:p>
      <w:pPr>
        <w:pStyle w:val="BodyText"/>
        <w:spacing w:line="278" w:lineRule="auto"/>
        <w:ind w:right="353"/>
      </w:pPr>
      <w:r>
        <w:rPr>
          <w:b/>
          <w:sz w:val="16"/>
        </w:rPr>
        <w:t xml:space="preserve">Mikropočítačový </w:t>
      </w:r>
      <w:r>
        <w:rPr>
          <w:b/>
          <w:sz w:val="16"/>
        </w:rPr>
        <w:t xml:space="preserve">systém: </w:t>
      </w:r>
      <w:r>
        <w:rPr>
          <w:sz w:val="16"/>
        </w:rPr>
        <w:t xml:space="preserve">Slouží </w:t>
      </w:r>
      <w:r>
        <w:rPr>
          <w:sz w:val="16"/>
        </w:rPr>
        <w:t xml:space="preserve">jako </w:t>
      </w:r>
      <w:r>
        <w:rPr>
          <w:sz w:val="16"/>
        </w:rPr>
        <w:t xml:space="preserve">„mozek“ </w:t>
      </w:r>
      <w:r>
        <w:rPr>
          <w:sz w:val="16"/>
        </w:rPr>
        <w:t>systému</w:t>
      </w:r>
      <w:r>
        <w:rPr>
          <w:sz w:val="16"/>
        </w:rPr>
        <w:t xml:space="preserve">, </w:t>
      </w:r>
      <w:r>
        <w:rPr>
          <w:sz w:val="16"/>
        </w:rPr>
        <w:t xml:space="preserve">inteligentně </w:t>
      </w:r>
      <w:r>
        <w:rPr>
          <w:sz w:val="16"/>
        </w:rPr>
        <w:t xml:space="preserve">řídí </w:t>
      </w:r>
      <w:r>
        <w:rPr>
          <w:sz w:val="16"/>
        </w:rPr>
        <w:t xml:space="preserve">a </w:t>
      </w:r>
      <w:r>
        <w:rPr>
          <w:sz w:val="16"/>
        </w:rPr>
        <w:t>spravuje celý systém a zpracovává detekční signály pomocí duálního procesoru.</w:t>
      </w:r>
    </w:p>
    <w:p>
      <w:pPr>
        <w:pStyle w:val="BodyText"/>
        <w:spacing w:after="0" w:line="278" w:lineRule="auto"/>
        <w:sectPr>
          <w:pgSz w:w="8390" w:h="11910"/>
          <w:pgMar w:top="640" w:right="425" w:bottom="540" w:left="425" w:header="0" w:footer="342"/>
          <w:cols w:space="708"/>
        </w:sectPr>
      </w:pPr>
    </w:p>
    <w:p>
      <w:pPr>
        <w:pStyle w:val="BodyText"/>
        <w:spacing w:before="78" w:line="278" w:lineRule="auto"/>
      </w:pPr>
      <w:r>
        <w:rPr>
          <w:b/>
          <w:sz w:val="16"/>
        </w:rPr>
        <w:t xml:space="preserve">Čerpací </w:t>
      </w:r>
      <w:r>
        <w:rPr>
          <w:b/>
          <w:sz w:val="16"/>
        </w:rPr>
        <w:t xml:space="preserve">mechanismus: </w:t>
      </w:r>
      <w:r>
        <w:rPr>
          <w:sz w:val="16"/>
        </w:rPr>
        <w:t xml:space="preserve">Působí </w:t>
      </w:r>
      <w:r>
        <w:rPr>
          <w:sz w:val="16"/>
        </w:rPr>
        <w:t xml:space="preserve">jako </w:t>
      </w:r>
      <w:r>
        <w:rPr>
          <w:sz w:val="16"/>
        </w:rPr>
        <w:t xml:space="preserve">„srdce“ </w:t>
      </w:r>
      <w:r>
        <w:rPr>
          <w:sz w:val="16"/>
        </w:rPr>
        <w:t xml:space="preserve">systému </w:t>
      </w:r>
      <w:r>
        <w:rPr>
          <w:sz w:val="16"/>
        </w:rPr>
        <w:t xml:space="preserve">a </w:t>
      </w:r>
      <w:r>
        <w:rPr>
          <w:sz w:val="16"/>
        </w:rPr>
        <w:t xml:space="preserve">je </w:t>
      </w:r>
      <w:r>
        <w:rPr>
          <w:sz w:val="16"/>
        </w:rPr>
        <w:t xml:space="preserve">zdrojem </w:t>
      </w:r>
      <w:r>
        <w:rPr>
          <w:sz w:val="16"/>
        </w:rPr>
        <w:t xml:space="preserve">energie </w:t>
      </w:r>
      <w:r>
        <w:rPr>
          <w:sz w:val="16"/>
        </w:rPr>
        <w:t xml:space="preserve">pro </w:t>
      </w:r>
      <w:r>
        <w:rPr>
          <w:sz w:val="16"/>
        </w:rPr>
        <w:t xml:space="preserve">dodávku </w:t>
      </w:r>
      <w:r>
        <w:rPr>
          <w:sz w:val="16"/>
        </w:rPr>
        <w:t>kapaliny</w:t>
      </w:r>
      <w:r>
        <w:rPr>
          <w:sz w:val="16"/>
        </w:rPr>
        <w:t>. Využívá krokový motor k pohonu šroubu a pohonu pístu injekční stříkačky.</w:t>
      </w:r>
    </w:p>
    <w:p>
      <w:pPr>
        <w:pStyle w:val="BodyText"/>
        <w:spacing w:before="155" w:line="278" w:lineRule="auto"/>
        <w:ind w:right="308"/>
      </w:pPr>
      <w:r>
        <w:rPr>
          <w:b/>
          <w:sz w:val="16"/>
        </w:rPr>
        <w:t xml:space="preserve">Detekční zařízení: </w:t>
      </w:r>
      <w:r>
        <w:rPr>
          <w:sz w:val="16"/>
        </w:rPr>
        <w:t xml:space="preserve">Skládá se z různých senzorů, jako jsou infračervené senzory (odpovědné za detekci dopředného a zpětného otáčení motoru) a tlakové senzory (odpovědné za detekci </w:t>
      </w:r>
      <w:r>
        <w:rPr>
          <w:sz w:val="16"/>
        </w:rPr>
        <w:t xml:space="preserve">blokád). </w:t>
      </w:r>
      <w:r>
        <w:rPr>
          <w:sz w:val="16"/>
        </w:rPr>
        <w:t xml:space="preserve">Tyto senzory </w:t>
      </w:r>
      <w:r>
        <w:rPr>
          <w:sz w:val="16"/>
        </w:rPr>
        <w:t xml:space="preserve">mohou </w:t>
      </w:r>
      <w:r>
        <w:rPr>
          <w:sz w:val="16"/>
        </w:rPr>
        <w:t xml:space="preserve">snímá </w:t>
      </w:r>
      <w:r>
        <w:rPr>
          <w:sz w:val="16"/>
        </w:rPr>
        <w:t xml:space="preserve">odpovídající </w:t>
      </w:r>
      <w:r>
        <w:rPr>
          <w:sz w:val="16"/>
        </w:rPr>
        <w:t xml:space="preserve">signály, </w:t>
      </w:r>
      <w:r>
        <w:rPr>
          <w:sz w:val="16"/>
        </w:rPr>
        <w:t xml:space="preserve">které </w:t>
      </w:r>
      <w:r>
        <w:rPr>
          <w:sz w:val="16"/>
        </w:rPr>
        <w:t xml:space="preserve">jsou </w:t>
      </w:r>
      <w:r>
        <w:rPr>
          <w:sz w:val="16"/>
        </w:rPr>
        <w:t xml:space="preserve">po </w:t>
      </w:r>
      <w:r>
        <w:rPr>
          <w:sz w:val="16"/>
        </w:rPr>
        <w:t xml:space="preserve">zesílení </w:t>
      </w:r>
      <w:r>
        <w:rPr>
          <w:sz w:val="16"/>
        </w:rPr>
        <w:t xml:space="preserve">odeslány do mikropočítačového systému pro zpracování signálu a následně pro odpovídající řídicí </w:t>
      </w:r>
      <w:r>
        <w:rPr>
          <w:spacing w:val="-2"/>
          <w:sz w:val="16"/>
        </w:rPr>
        <w:t>operace.</w:t>
      </w:r>
    </w:p>
    <w:p>
      <w:pPr>
        <w:pStyle w:val="BodyText"/>
        <w:spacing w:line="278" w:lineRule="auto"/>
        <w:ind w:right="353"/>
      </w:pPr>
      <w:r>
        <w:rPr>
          <w:b/>
          <w:sz w:val="16"/>
        </w:rPr>
        <w:t xml:space="preserve">Alarmový systém: </w:t>
      </w:r>
      <w:r>
        <w:rPr>
          <w:sz w:val="16"/>
        </w:rPr>
        <w:t xml:space="preserve">Jakmile mikropočítač zpracuje signály snímané senzory, vygeneruje </w:t>
      </w:r>
      <w:r>
        <w:rPr>
          <w:sz w:val="16"/>
        </w:rPr>
        <w:t xml:space="preserve">alarmové </w:t>
      </w:r>
      <w:r>
        <w:rPr>
          <w:sz w:val="16"/>
        </w:rPr>
        <w:t xml:space="preserve">řídicí </w:t>
      </w:r>
      <w:r>
        <w:rPr>
          <w:sz w:val="16"/>
        </w:rPr>
        <w:t xml:space="preserve">signály, </w:t>
      </w:r>
      <w:r>
        <w:rPr>
          <w:sz w:val="16"/>
        </w:rPr>
        <w:t>na</w:t>
      </w:r>
      <w:r>
        <w:rPr>
          <w:sz w:val="16"/>
        </w:rPr>
        <w:t xml:space="preserve"> které </w:t>
      </w:r>
      <w:r>
        <w:rPr>
          <w:sz w:val="16"/>
        </w:rPr>
        <w:t xml:space="preserve">reaguje </w:t>
      </w:r>
      <w:r>
        <w:rPr>
          <w:sz w:val="16"/>
        </w:rPr>
        <w:t>alarmový</w:t>
      </w:r>
      <w:r>
        <w:rPr>
          <w:sz w:val="16"/>
        </w:rPr>
        <w:t xml:space="preserve"> </w:t>
      </w:r>
      <w:r>
        <w:rPr>
          <w:sz w:val="16"/>
        </w:rPr>
        <w:t xml:space="preserve">systém, </w:t>
      </w:r>
      <w:r>
        <w:rPr>
          <w:sz w:val="16"/>
        </w:rPr>
        <w:t xml:space="preserve">čímž </w:t>
      </w:r>
      <w:r>
        <w:rPr>
          <w:sz w:val="16"/>
        </w:rPr>
        <w:t>upoutá pozornost a usnadní přijetí vhodných opatření. Zahrnuje hlavně fotoelektrické alarmy</w:t>
      </w:r>
    </w:p>
    <w:p>
      <w:pPr>
        <w:pStyle w:val="BodyText"/>
        <w:spacing w:before="0" w:line="207" w:lineRule="exact"/>
      </w:pPr>
      <w:r>
        <w:rPr>
          <w:sz w:val="16"/>
        </w:rPr>
        <w:t xml:space="preserve">(světelné </w:t>
      </w:r>
      <w:r>
        <w:rPr>
          <w:sz w:val="16"/>
        </w:rPr>
        <w:t xml:space="preserve">diody), </w:t>
      </w:r>
      <w:r>
        <w:rPr>
          <w:sz w:val="16"/>
        </w:rPr>
        <w:t xml:space="preserve">zvukové </w:t>
      </w:r>
      <w:r>
        <w:rPr>
          <w:sz w:val="16"/>
        </w:rPr>
        <w:t xml:space="preserve">alarmy (reproduktory) </w:t>
      </w:r>
      <w:r>
        <w:rPr>
          <w:sz w:val="16"/>
        </w:rPr>
        <w:t xml:space="preserve">a </w:t>
      </w:r>
      <w:r>
        <w:rPr>
          <w:spacing w:val="-2"/>
          <w:sz w:val="16"/>
        </w:rPr>
        <w:t xml:space="preserve">alarmy </w:t>
      </w:r>
      <w:r>
        <w:rPr>
          <w:sz w:val="16"/>
        </w:rPr>
        <w:t xml:space="preserve">na </w:t>
      </w:r>
      <w:r>
        <w:rPr>
          <w:sz w:val="16"/>
        </w:rPr>
        <w:t>obrazovce</w:t>
      </w:r>
      <w:r>
        <w:rPr>
          <w:spacing w:val="-2"/>
          <w:sz w:val="16"/>
        </w:rPr>
        <w:t>.</w:t>
      </w:r>
    </w:p>
    <w:p>
      <w:pPr>
        <w:pStyle w:val="BodyText"/>
        <w:spacing w:before="189" w:line="278" w:lineRule="auto"/>
      </w:pPr>
      <w:r>
        <w:rPr>
          <w:b/>
          <w:sz w:val="16"/>
        </w:rPr>
        <w:t xml:space="preserve">Rozhraní člověk-stroj: </w:t>
      </w:r>
      <w:r>
        <w:rPr>
          <w:sz w:val="16"/>
        </w:rPr>
        <w:t xml:space="preserve">Parametry infuze, jako je objem a rychlost injekce, se nastavují </w:t>
      </w:r>
      <w:r>
        <w:rPr>
          <w:sz w:val="16"/>
        </w:rPr>
        <w:t>pomocí tlačítek. Tyto parametry a aktuální pracovní stav se zobrazují na barevném LCD displeji.</w:t>
      </w:r>
    </w:p>
    <w:p>
      <w:pPr>
        <w:pStyle w:val="BodyText"/>
        <w:spacing w:before="0"/>
        <w:ind w:left="0"/>
      </w:pPr>
    </w:p>
    <w:p>
      <w:pPr>
        <w:pStyle w:val="BodyText"/>
        <w:spacing w:before="28"/>
        <w:ind w:left="0"/>
      </w:pPr>
    </w:p>
    <w:p>
      <w:pPr>
        <w:pStyle w:val="Heading1"/>
        <w:numPr>
          <w:ilvl w:val="0"/>
          <w:numId w:val="1"/>
        </w:numPr>
        <w:tabs>
          <w:tab w:val="left" w:pos="443"/>
        </w:tabs>
        <w:spacing w:before="0" w:after="0" w:line="240" w:lineRule="auto"/>
        <w:ind w:left="443" w:right="0" w:hanging="148"/>
        <w:jc w:val="left"/>
      </w:pPr>
      <w:bookmarkStart w:id="30" w:name="4.Technical Characteristics, Parameters,"/>
      <w:bookmarkEnd w:id="30"/>
      <w:bookmarkStart w:id="31" w:name="_bookmark15"/>
      <w:bookmarkEnd w:id="31"/>
      <w:r>
        <w:rPr>
          <w:sz w:val="18"/>
        </w:rPr>
        <w:t xml:space="preserve">Technické </w:t>
      </w:r>
      <w:r>
        <w:rPr>
          <w:sz w:val="18"/>
        </w:rPr>
        <w:t xml:space="preserve">charakteristiky, </w:t>
      </w:r>
      <w:r>
        <w:rPr>
          <w:sz w:val="18"/>
        </w:rPr>
        <w:t xml:space="preserve">parametry </w:t>
      </w:r>
      <w:r>
        <w:rPr>
          <w:sz w:val="18"/>
        </w:rPr>
        <w:t xml:space="preserve">a </w:t>
      </w:r>
      <w:r>
        <w:rPr>
          <w:spacing w:val="-2"/>
          <w:sz w:val="18"/>
        </w:rPr>
        <w:t>slovníček</w:t>
      </w:r>
    </w:p>
    <w:p>
      <w:pPr>
        <w:pStyle w:val="BodyText"/>
        <w:spacing w:before="3"/>
        <w:ind w:left="0"/>
        <w:rPr>
          <w:b/>
          <w:sz w:val="8"/>
        </w:rPr>
      </w:pPr>
    </w:p>
    <w:tbl>
      <w:tblPr>
        <w:tblStyle w:val="TableNormal"/>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1"/>
        <w:gridCol w:w="5533"/>
      </w:tblGrid>
      <w:tr>
        <w:tblPrEx>
          <w:tblW w:w="0" w:type="auto"/>
          <w:tblInd w:w="128" w:type="dxa"/>
          <w:tblLayout w:type="fixed"/>
          <w:tblLook w:val="01E0"/>
        </w:tblPrEx>
        <w:trPr>
          <w:trHeight w:val="281"/>
        </w:trPr>
        <w:tc>
          <w:tcPr>
            <w:tcW w:w="7294" w:type="dxa"/>
            <w:gridSpan w:val="2"/>
            <w:shd w:val="clear" w:color="auto" w:fill="99CCFF"/>
          </w:tcPr>
          <w:p>
            <w:pPr>
              <w:pStyle w:val="TableParagraph"/>
              <w:spacing w:before="39"/>
              <w:ind w:left="85"/>
              <w:rPr>
                <w:sz w:val="18"/>
              </w:rPr>
            </w:pPr>
            <w:r>
              <w:rPr>
                <w:sz w:val="16"/>
              </w:rPr>
              <w:t xml:space="preserve">Technické </w:t>
            </w:r>
            <w:r>
              <w:rPr>
                <w:sz w:val="16"/>
              </w:rPr>
              <w:t xml:space="preserve">charakteristiky </w:t>
            </w:r>
            <w:r>
              <w:rPr>
                <w:sz w:val="16"/>
              </w:rPr>
              <w:t xml:space="preserve">a </w:t>
            </w:r>
            <w:r>
              <w:rPr>
                <w:spacing w:val="-2"/>
                <w:sz w:val="16"/>
              </w:rPr>
              <w:t>parametry</w:t>
            </w:r>
          </w:p>
        </w:tc>
      </w:tr>
      <w:tr>
        <w:tblPrEx>
          <w:tblW w:w="0" w:type="auto"/>
          <w:tblInd w:w="128" w:type="dxa"/>
          <w:tblLayout w:type="fixed"/>
          <w:tblLook w:val="01E0"/>
        </w:tblPrEx>
        <w:trPr>
          <w:trHeight w:val="591"/>
        </w:trPr>
        <w:tc>
          <w:tcPr>
            <w:tcW w:w="1761" w:type="dxa"/>
          </w:tcPr>
          <w:p>
            <w:pPr>
              <w:pStyle w:val="TableParagraph"/>
              <w:spacing w:before="83" w:line="254" w:lineRule="auto"/>
              <w:ind w:left="85" w:right="253"/>
              <w:rPr>
                <w:sz w:val="18"/>
              </w:rPr>
            </w:pPr>
            <w:r>
              <w:rPr>
                <w:spacing w:val="-2"/>
                <w:sz w:val="16"/>
              </w:rPr>
              <w:t>Specifikace injekční stříkačky</w:t>
            </w:r>
          </w:p>
        </w:tc>
        <w:tc>
          <w:tcPr>
            <w:tcW w:w="5533" w:type="dxa"/>
          </w:tcPr>
          <w:p>
            <w:pPr>
              <w:pStyle w:val="TableParagraph"/>
              <w:spacing w:before="83" w:line="254" w:lineRule="auto"/>
              <w:ind w:left="83" w:right="64"/>
              <w:rPr>
                <w:sz w:val="18"/>
              </w:rPr>
            </w:pPr>
            <w:r>
              <w:rPr>
                <w:sz w:val="16"/>
              </w:rPr>
              <w:t>Kompatibilní s jednorázovými sterilními injekčními stříkačkami o objemu 2/2,5 ml, 5 ml, 10 ml, 20 ml, 30 ml a 50/60 ml, které splňují příslušné předpisy a normy.</w:t>
            </w:r>
          </w:p>
        </w:tc>
      </w:tr>
      <w:tr>
        <w:tblPrEx>
          <w:tblW w:w="0" w:type="auto"/>
          <w:tblInd w:w="128" w:type="dxa"/>
          <w:tblLayout w:type="fixed"/>
          <w:tblLook w:val="01E0"/>
        </w:tblPrEx>
        <w:trPr>
          <w:trHeight w:val="502"/>
        </w:trPr>
        <w:tc>
          <w:tcPr>
            <w:tcW w:w="1761" w:type="dxa"/>
          </w:tcPr>
          <w:p>
            <w:pPr>
              <w:pStyle w:val="TableParagraph"/>
              <w:spacing w:before="147"/>
              <w:ind w:left="85"/>
              <w:rPr>
                <w:sz w:val="18"/>
              </w:rPr>
            </w:pPr>
            <w:r>
              <w:rPr>
                <w:sz w:val="16"/>
              </w:rPr>
              <w:t xml:space="preserve">Přednastavený </w:t>
            </w:r>
            <w:r>
              <w:rPr>
                <w:spacing w:val="-2"/>
                <w:sz w:val="16"/>
              </w:rPr>
              <w:t>objem</w:t>
            </w:r>
          </w:p>
        </w:tc>
        <w:tc>
          <w:tcPr>
            <w:tcW w:w="5533" w:type="dxa"/>
          </w:tcPr>
          <w:p>
            <w:pPr>
              <w:pStyle w:val="TableParagraph"/>
              <w:spacing w:line="192" w:lineRule="auto"/>
              <w:ind w:left="83" w:right="64"/>
              <w:rPr>
                <w:sz w:val="18"/>
              </w:rPr>
            </w:pPr>
            <w:r>
              <w:rPr>
                <w:sz w:val="16"/>
              </w:rPr>
              <w:t>(0</w:t>
            </w:r>
            <w:r>
              <w:rPr>
                <w:rFonts w:ascii="Noto Sans CJK JP" w:eastAsia="Noto Sans CJK JP"/>
                <w:sz w:val="16"/>
              </w:rPr>
              <w:t>～</w:t>
            </w:r>
            <w:r>
              <w:rPr>
                <w:sz w:val="16"/>
              </w:rPr>
              <w:t xml:space="preserve">9999,99) </w:t>
            </w:r>
            <w:r>
              <w:rPr>
                <w:sz w:val="16"/>
              </w:rPr>
              <w:t xml:space="preserve">ml s </w:t>
            </w:r>
            <w:r>
              <w:rPr>
                <w:sz w:val="16"/>
              </w:rPr>
              <w:t>minimálním přírůstkem</w:t>
            </w:r>
            <w:r>
              <w:rPr>
                <w:sz w:val="16"/>
              </w:rPr>
              <w:t xml:space="preserve"> 0,01 </w:t>
            </w:r>
            <w:r>
              <w:rPr>
                <w:sz w:val="16"/>
              </w:rPr>
              <w:t xml:space="preserve">ml; „0“ </w:t>
            </w:r>
            <w:r>
              <w:rPr>
                <w:sz w:val="16"/>
              </w:rPr>
              <w:t>znamená, že není nastaven žádný limit injekce.</w:t>
            </w:r>
          </w:p>
        </w:tc>
      </w:tr>
      <w:tr>
        <w:tblPrEx>
          <w:tblW w:w="0" w:type="auto"/>
          <w:tblInd w:w="128" w:type="dxa"/>
          <w:tblLayout w:type="fixed"/>
          <w:tblLook w:val="01E0"/>
        </w:tblPrEx>
        <w:trPr>
          <w:trHeight w:val="501"/>
        </w:trPr>
        <w:tc>
          <w:tcPr>
            <w:tcW w:w="1761" w:type="dxa"/>
          </w:tcPr>
          <w:p>
            <w:pPr>
              <w:pStyle w:val="TableParagraph"/>
              <w:spacing w:before="148"/>
              <w:ind w:left="85"/>
              <w:rPr>
                <w:sz w:val="18"/>
              </w:rPr>
            </w:pPr>
            <w:r>
              <w:rPr>
                <w:spacing w:val="-2"/>
                <w:sz w:val="16"/>
              </w:rPr>
              <w:t xml:space="preserve">Rychlost </w:t>
            </w:r>
            <w:r>
              <w:rPr>
                <w:sz w:val="16"/>
              </w:rPr>
              <w:t>KVO</w:t>
            </w:r>
          </w:p>
        </w:tc>
        <w:tc>
          <w:tcPr>
            <w:tcW w:w="5533" w:type="dxa"/>
          </w:tcPr>
          <w:p>
            <w:pPr>
              <w:pStyle w:val="TableParagraph"/>
              <w:spacing w:before="38" w:line="256" w:lineRule="auto"/>
              <w:ind w:left="83" w:right="64"/>
              <w:rPr>
                <w:sz w:val="18"/>
              </w:rPr>
            </w:pPr>
            <w:r>
              <w:rPr>
                <w:sz w:val="16"/>
              </w:rPr>
              <w:t>(0,1–10) ml/h s minimálním přírůstkem 0,1 ml/h, výchozí hodnota je 0,1 ml/h, lze nastavit na vypnuto.</w:t>
            </w:r>
          </w:p>
        </w:tc>
      </w:tr>
      <w:tr>
        <w:tblPrEx>
          <w:tblW w:w="0" w:type="auto"/>
          <w:tblInd w:w="128" w:type="dxa"/>
          <w:tblLayout w:type="fixed"/>
          <w:tblLook w:val="01E0"/>
        </w:tblPrEx>
        <w:trPr>
          <w:trHeight w:val="502"/>
        </w:trPr>
        <w:tc>
          <w:tcPr>
            <w:tcW w:w="1761" w:type="dxa"/>
          </w:tcPr>
          <w:p>
            <w:pPr>
              <w:pStyle w:val="TableParagraph"/>
              <w:spacing w:before="37" w:line="256" w:lineRule="auto"/>
              <w:ind w:left="85"/>
              <w:rPr>
                <w:sz w:val="18"/>
              </w:rPr>
            </w:pPr>
            <w:r>
              <w:rPr>
                <w:sz w:val="16"/>
              </w:rPr>
              <w:t xml:space="preserve">Rozsah </w:t>
            </w:r>
            <w:r>
              <w:rPr>
                <w:sz w:val="16"/>
              </w:rPr>
              <w:t xml:space="preserve">zobrazení </w:t>
            </w:r>
            <w:r>
              <w:rPr>
                <w:spacing w:val="-2"/>
                <w:sz w:val="16"/>
              </w:rPr>
              <w:t xml:space="preserve">akumulovaného </w:t>
            </w:r>
            <w:r>
              <w:rPr>
                <w:spacing w:val="-2"/>
                <w:sz w:val="16"/>
              </w:rPr>
              <w:t>objemu</w:t>
            </w:r>
          </w:p>
        </w:tc>
        <w:tc>
          <w:tcPr>
            <w:tcW w:w="5533" w:type="dxa"/>
          </w:tcPr>
          <w:p>
            <w:pPr>
              <w:pStyle w:val="TableParagraph"/>
              <w:spacing w:before="57"/>
              <w:ind w:left="83"/>
              <w:rPr>
                <w:sz w:val="18"/>
              </w:rPr>
            </w:pPr>
            <w:r>
              <w:rPr>
                <w:spacing w:val="-2"/>
                <w:sz w:val="16"/>
              </w:rPr>
              <w:t>0</w:t>
            </w:r>
            <w:r>
              <w:rPr>
                <w:rFonts w:ascii="Noto Sans CJK JP" w:eastAsia="Noto Sans CJK JP"/>
                <w:spacing w:val="-2"/>
                <w:sz w:val="16"/>
              </w:rPr>
              <w:t>～</w:t>
            </w:r>
            <w:r>
              <w:rPr>
                <w:spacing w:val="-2"/>
                <w:sz w:val="16"/>
              </w:rPr>
              <w:t>36000 ml</w:t>
            </w:r>
          </w:p>
        </w:tc>
      </w:tr>
      <w:tr>
        <w:tblPrEx>
          <w:tblW w:w="0" w:type="auto"/>
          <w:tblInd w:w="128" w:type="dxa"/>
          <w:tblLayout w:type="fixed"/>
          <w:tblLook w:val="01E0"/>
        </w:tblPrEx>
        <w:trPr>
          <w:trHeight w:val="3326"/>
        </w:trPr>
        <w:tc>
          <w:tcPr>
            <w:tcW w:w="176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1"/>
              <w:rPr>
                <w:b/>
                <w:sz w:val="18"/>
              </w:rPr>
            </w:pPr>
          </w:p>
          <w:p>
            <w:pPr>
              <w:pStyle w:val="TableParagraph"/>
              <w:ind w:left="85"/>
              <w:rPr>
                <w:sz w:val="18"/>
              </w:rPr>
            </w:pPr>
            <w:r>
              <w:rPr>
                <w:spacing w:val="-2"/>
                <w:sz w:val="16"/>
              </w:rPr>
              <w:t xml:space="preserve">Rychlost </w:t>
            </w:r>
            <w:r>
              <w:rPr>
                <w:sz w:val="16"/>
              </w:rPr>
              <w:t>injekce</w:t>
            </w:r>
          </w:p>
        </w:tc>
        <w:tc>
          <w:tcPr>
            <w:tcW w:w="5533" w:type="dxa"/>
          </w:tcPr>
          <w:p>
            <w:pPr>
              <w:pStyle w:val="TableParagraph"/>
              <w:numPr>
                <w:ilvl w:val="0"/>
                <w:numId w:val="39"/>
              </w:numPr>
              <w:tabs>
                <w:tab w:val="left" w:pos="221"/>
              </w:tabs>
              <w:spacing w:before="109" w:after="0" w:line="192" w:lineRule="auto"/>
              <w:ind w:left="83" w:right="73" w:firstLine="0"/>
              <w:jc w:val="left"/>
              <w:rPr>
                <w:sz w:val="18"/>
              </w:rPr>
            </w:pPr>
            <w:r>
              <w:rPr>
                <w:sz w:val="16"/>
              </w:rPr>
              <w:t>Rozsah injekční stříkačky 2/2,5 ml: (0,10</w:t>
            </w:r>
            <w:r>
              <w:rPr>
                <w:rFonts w:ascii="Noto Sans CJK JP" w:eastAsia="Noto Sans CJK JP"/>
                <w:sz w:val="16"/>
              </w:rPr>
              <w:t>～</w:t>
            </w:r>
            <w:r>
              <w:rPr>
                <w:sz w:val="16"/>
              </w:rPr>
              <w:t>150,00) ml/h s minimálním přírůstkem 0,01 ml/h;</w:t>
            </w:r>
          </w:p>
          <w:p>
            <w:pPr>
              <w:pStyle w:val="TableParagraph"/>
              <w:numPr>
                <w:ilvl w:val="0"/>
                <w:numId w:val="39"/>
              </w:numPr>
              <w:tabs>
                <w:tab w:val="left" w:pos="233"/>
              </w:tabs>
              <w:spacing w:before="0" w:after="0" w:line="299" w:lineRule="exact"/>
              <w:ind w:left="233" w:right="0" w:hanging="150"/>
              <w:jc w:val="left"/>
              <w:rPr>
                <w:sz w:val="18"/>
              </w:rPr>
            </w:pPr>
            <w:r>
              <w:rPr>
                <w:sz w:val="16"/>
              </w:rPr>
              <w:t xml:space="preserve">Rozsah </w:t>
            </w:r>
            <w:r>
              <w:rPr>
                <w:spacing w:val="-5"/>
                <w:sz w:val="16"/>
              </w:rPr>
              <w:t>pro</w:t>
            </w:r>
            <w:r>
              <w:rPr>
                <w:sz w:val="16"/>
              </w:rPr>
              <w:t xml:space="preserve"> 5ml </w:t>
            </w:r>
            <w:r>
              <w:rPr>
                <w:sz w:val="16"/>
              </w:rPr>
              <w:t>injekční stříkačky</w:t>
            </w:r>
            <w:r>
              <w:rPr>
                <w:sz w:val="16"/>
              </w:rPr>
              <w:t xml:space="preserve">: </w:t>
            </w:r>
            <w:r>
              <w:rPr>
                <w:sz w:val="16"/>
              </w:rPr>
              <w:t>(0,10</w:t>
            </w:r>
            <w:r>
              <w:rPr>
                <w:rFonts w:ascii="Noto Sans CJK JP" w:eastAsia="Noto Sans CJK JP"/>
                <w:sz w:val="16"/>
              </w:rPr>
              <w:t>～</w:t>
            </w:r>
            <w:r>
              <w:rPr>
                <w:sz w:val="16"/>
              </w:rPr>
              <w:t xml:space="preserve">150,00) </w:t>
            </w:r>
            <w:r>
              <w:rPr>
                <w:sz w:val="16"/>
              </w:rPr>
              <w:t xml:space="preserve">ml/h </w:t>
            </w:r>
            <w:r>
              <w:rPr>
                <w:sz w:val="16"/>
              </w:rPr>
              <w:t xml:space="preserve">s </w:t>
            </w:r>
            <w:r>
              <w:rPr>
                <w:sz w:val="16"/>
              </w:rPr>
              <w:t xml:space="preserve">minimálním </w:t>
            </w:r>
            <w:r>
              <w:rPr>
                <w:sz w:val="16"/>
              </w:rPr>
              <w:t>přírůstkem</w:t>
            </w:r>
          </w:p>
          <w:p>
            <w:pPr>
              <w:pStyle w:val="TableParagraph"/>
              <w:spacing w:line="157" w:lineRule="exact"/>
              <w:ind w:left="83"/>
              <w:rPr>
                <w:sz w:val="18"/>
              </w:rPr>
            </w:pPr>
            <w:r>
              <w:rPr>
                <w:sz w:val="16"/>
              </w:rPr>
              <w:t xml:space="preserve">0,01 </w:t>
            </w:r>
            <w:r>
              <w:rPr>
                <w:spacing w:val="-2"/>
                <w:sz w:val="16"/>
              </w:rPr>
              <w:t>ml/h;</w:t>
            </w:r>
          </w:p>
          <w:p>
            <w:pPr>
              <w:pStyle w:val="TableParagraph"/>
              <w:spacing w:line="315" w:lineRule="exact"/>
              <w:ind w:left="83"/>
              <w:rPr>
                <w:sz w:val="18"/>
              </w:rPr>
            </w:pPr>
            <w:r>
              <w:rPr>
                <w:spacing w:val="-5"/>
                <w:sz w:val="16"/>
              </w:rPr>
              <w:t>c</w:t>
            </w:r>
            <w:r>
              <w:rPr>
                <w:sz w:val="16"/>
              </w:rPr>
              <w:t xml:space="preserve">) </w:t>
            </w:r>
            <w:r>
              <w:rPr>
                <w:sz w:val="16"/>
              </w:rPr>
              <w:t>Rozsah</w:t>
            </w:r>
            <w:r>
              <w:rPr>
                <w:sz w:val="16"/>
              </w:rPr>
              <w:t xml:space="preserve"> 10ml </w:t>
            </w:r>
            <w:r>
              <w:rPr>
                <w:sz w:val="16"/>
              </w:rPr>
              <w:t xml:space="preserve">injekčních stříkaček: </w:t>
            </w:r>
            <w:r>
              <w:rPr>
                <w:sz w:val="16"/>
              </w:rPr>
              <w:t>(0,10</w:t>
            </w:r>
            <w:r>
              <w:rPr>
                <w:rFonts w:ascii="Noto Sans CJK JP" w:eastAsia="Noto Sans CJK JP"/>
                <w:sz w:val="16"/>
              </w:rPr>
              <w:t>～</w:t>
            </w:r>
            <w:r>
              <w:rPr>
                <w:sz w:val="16"/>
              </w:rPr>
              <w:t xml:space="preserve">300,00) </w:t>
            </w:r>
            <w:r>
              <w:rPr>
                <w:sz w:val="16"/>
              </w:rPr>
              <w:t xml:space="preserve">ml/h </w:t>
            </w:r>
            <w:r>
              <w:rPr>
                <w:sz w:val="16"/>
              </w:rPr>
              <w:t xml:space="preserve">s </w:t>
            </w:r>
            <w:r>
              <w:rPr>
                <w:sz w:val="16"/>
              </w:rPr>
              <w:t>minimálním přírůstkem</w:t>
            </w:r>
          </w:p>
          <w:p>
            <w:pPr>
              <w:pStyle w:val="TableParagraph"/>
              <w:spacing w:line="158" w:lineRule="exact"/>
              <w:ind w:left="83"/>
              <w:rPr>
                <w:sz w:val="18"/>
              </w:rPr>
            </w:pPr>
            <w:r>
              <w:rPr>
                <w:sz w:val="16"/>
              </w:rPr>
              <w:t xml:space="preserve">0,01 </w:t>
            </w:r>
            <w:r>
              <w:rPr>
                <w:spacing w:val="-2"/>
                <w:sz w:val="16"/>
              </w:rPr>
              <w:t>ml/h;</w:t>
            </w:r>
          </w:p>
          <w:p>
            <w:pPr>
              <w:pStyle w:val="TableParagraph"/>
              <w:spacing w:line="314" w:lineRule="exact"/>
              <w:ind w:left="83"/>
              <w:rPr>
                <w:sz w:val="18"/>
              </w:rPr>
            </w:pPr>
            <w:r>
              <w:rPr>
                <w:spacing w:val="-5"/>
                <w:sz w:val="16"/>
              </w:rPr>
              <w:t>d</w:t>
            </w:r>
            <w:r>
              <w:rPr>
                <w:sz w:val="16"/>
              </w:rPr>
              <w:t xml:space="preserve">) </w:t>
            </w:r>
            <w:r>
              <w:rPr>
                <w:sz w:val="16"/>
              </w:rPr>
              <w:t>Rozsah</w:t>
            </w:r>
            <w:r>
              <w:rPr>
                <w:sz w:val="16"/>
              </w:rPr>
              <w:t xml:space="preserve"> 20ml </w:t>
            </w:r>
            <w:r>
              <w:rPr>
                <w:sz w:val="16"/>
              </w:rPr>
              <w:t>injekční stříkačky</w:t>
            </w:r>
            <w:r>
              <w:rPr>
                <w:sz w:val="16"/>
              </w:rPr>
              <w:t xml:space="preserve">: </w:t>
            </w:r>
            <w:r>
              <w:rPr>
                <w:sz w:val="16"/>
              </w:rPr>
              <w:t>(0,10</w:t>
            </w:r>
            <w:r>
              <w:rPr>
                <w:rFonts w:ascii="Noto Sans CJK JP" w:eastAsia="Noto Sans CJK JP"/>
                <w:sz w:val="16"/>
              </w:rPr>
              <w:t>～</w:t>
            </w:r>
            <w:r>
              <w:rPr>
                <w:sz w:val="16"/>
              </w:rPr>
              <w:t xml:space="preserve">600,00) </w:t>
            </w:r>
            <w:r>
              <w:rPr>
                <w:sz w:val="16"/>
              </w:rPr>
              <w:t xml:space="preserve">ml/h </w:t>
            </w:r>
            <w:r>
              <w:rPr>
                <w:sz w:val="16"/>
              </w:rPr>
              <w:t xml:space="preserve">s </w:t>
            </w:r>
            <w:r>
              <w:rPr>
                <w:sz w:val="16"/>
              </w:rPr>
              <w:t>minimálním přírůstkem</w:t>
            </w:r>
          </w:p>
          <w:p>
            <w:pPr>
              <w:pStyle w:val="TableParagraph"/>
              <w:spacing w:line="157" w:lineRule="exact"/>
              <w:ind w:left="83"/>
              <w:rPr>
                <w:sz w:val="18"/>
              </w:rPr>
            </w:pPr>
            <w:r>
              <w:rPr>
                <w:sz w:val="16"/>
              </w:rPr>
              <w:t xml:space="preserve">0,01 </w:t>
            </w:r>
            <w:r>
              <w:rPr>
                <w:spacing w:val="-2"/>
                <w:sz w:val="16"/>
              </w:rPr>
              <w:t>ml/h;</w:t>
            </w:r>
          </w:p>
          <w:p>
            <w:pPr>
              <w:pStyle w:val="TableParagraph"/>
              <w:spacing w:line="314" w:lineRule="exact"/>
              <w:ind w:left="83"/>
              <w:rPr>
                <w:sz w:val="18"/>
              </w:rPr>
            </w:pPr>
            <w:r>
              <w:rPr>
                <w:spacing w:val="-5"/>
                <w:sz w:val="16"/>
              </w:rPr>
              <w:t>e</w:t>
            </w:r>
            <w:r>
              <w:rPr>
                <w:sz w:val="16"/>
              </w:rPr>
              <w:t xml:space="preserve">) </w:t>
            </w:r>
            <w:r>
              <w:rPr>
                <w:sz w:val="16"/>
              </w:rPr>
              <w:t>rozsah</w:t>
            </w:r>
            <w:r>
              <w:rPr>
                <w:sz w:val="16"/>
              </w:rPr>
              <w:t xml:space="preserve"> 30ml </w:t>
            </w:r>
            <w:r>
              <w:rPr>
                <w:sz w:val="16"/>
              </w:rPr>
              <w:t xml:space="preserve">stříkačky: </w:t>
            </w:r>
            <w:r>
              <w:rPr>
                <w:sz w:val="16"/>
              </w:rPr>
              <w:t>(0,10</w:t>
            </w:r>
            <w:r>
              <w:rPr>
                <w:rFonts w:ascii="Noto Sans CJK JP" w:eastAsia="Noto Sans CJK JP"/>
                <w:sz w:val="16"/>
              </w:rPr>
              <w:t>～</w:t>
            </w:r>
            <w:r>
              <w:rPr>
                <w:sz w:val="16"/>
              </w:rPr>
              <w:t xml:space="preserve">900,00) </w:t>
            </w:r>
            <w:r>
              <w:rPr>
                <w:sz w:val="16"/>
              </w:rPr>
              <w:t xml:space="preserve">ml/h </w:t>
            </w:r>
            <w:r>
              <w:rPr>
                <w:sz w:val="16"/>
              </w:rPr>
              <w:t xml:space="preserve">s </w:t>
            </w:r>
            <w:r>
              <w:rPr>
                <w:sz w:val="16"/>
              </w:rPr>
              <w:t>minimálním přírůstkem</w:t>
            </w:r>
          </w:p>
          <w:p>
            <w:pPr>
              <w:pStyle w:val="TableParagraph"/>
              <w:spacing w:line="157" w:lineRule="exact"/>
              <w:ind w:left="83"/>
              <w:rPr>
                <w:sz w:val="18"/>
              </w:rPr>
            </w:pPr>
            <w:r>
              <w:rPr>
                <w:sz w:val="16"/>
              </w:rPr>
              <w:t xml:space="preserve">0,01 </w:t>
            </w:r>
            <w:r>
              <w:rPr>
                <w:spacing w:val="-2"/>
                <w:sz w:val="16"/>
              </w:rPr>
              <w:t>ml/h;</w:t>
            </w:r>
          </w:p>
          <w:p>
            <w:pPr>
              <w:pStyle w:val="TableParagraph"/>
              <w:numPr>
                <w:ilvl w:val="0"/>
                <w:numId w:val="38"/>
              </w:numPr>
              <w:tabs>
                <w:tab w:val="left" w:pos="319"/>
              </w:tabs>
              <w:spacing w:before="28" w:after="0" w:line="192" w:lineRule="auto"/>
              <w:ind w:left="83" w:right="75" w:firstLine="0"/>
              <w:jc w:val="left"/>
              <w:rPr>
                <w:sz w:val="18"/>
              </w:rPr>
            </w:pPr>
            <w:r>
              <w:rPr>
                <w:sz w:val="16"/>
              </w:rPr>
              <w:t xml:space="preserve">rozsah </w:t>
            </w:r>
            <w:r>
              <w:rPr>
                <w:sz w:val="16"/>
              </w:rPr>
              <w:t>stříkačky</w:t>
            </w:r>
            <w:r>
              <w:rPr>
                <w:sz w:val="16"/>
              </w:rPr>
              <w:t xml:space="preserve"> 50/60 ml </w:t>
            </w:r>
            <w:r>
              <w:rPr>
                <w:sz w:val="16"/>
              </w:rPr>
              <w:t xml:space="preserve">(0,10 </w:t>
            </w:r>
            <w:r>
              <w:rPr>
                <w:rFonts w:ascii="Noto Sans CJK JP" w:eastAsia="Noto Sans CJK JP"/>
                <w:sz w:val="16"/>
              </w:rPr>
              <w:t>～</w:t>
            </w:r>
            <w:r>
              <w:rPr>
                <w:sz w:val="16"/>
              </w:rPr>
              <w:t xml:space="preserve"> 1800,00) </w:t>
            </w:r>
            <w:r>
              <w:rPr>
                <w:sz w:val="16"/>
              </w:rPr>
              <w:t xml:space="preserve">ml/h </w:t>
            </w:r>
            <w:r>
              <w:rPr>
                <w:sz w:val="16"/>
              </w:rPr>
              <w:t xml:space="preserve">s </w:t>
            </w:r>
            <w:r>
              <w:rPr>
                <w:sz w:val="16"/>
              </w:rPr>
              <w:t xml:space="preserve">minimálním </w:t>
            </w:r>
            <w:r>
              <w:rPr>
                <w:sz w:val="16"/>
              </w:rPr>
              <w:t>přírůstkem 0,01 ml/h;</w:t>
            </w:r>
          </w:p>
          <w:p>
            <w:pPr>
              <w:pStyle w:val="TableParagraph"/>
              <w:numPr>
                <w:ilvl w:val="0"/>
                <w:numId w:val="38"/>
              </w:numPr>
              <w:tabs>
                <w:tab w:val="left" w:pos="276"/>
              </w:tabs>
              <w:spacing w:before="54" w:after="0" w:line="240" w:lineRule="auto"/>
              <w:ind w:left="276" w:right="0" w:hanging="193"/>
              <w:jc w:val="left"/>
              <w:rPr>
                <w:sz w:val="18"/>
              </w:rPr>
            </w:pPr>
            <w:r>
              <w:rPr>
                <w:sz w:val="16"/>
              </w:rPr>
              <w:t xml:space="preserve">Chyba </w:t>
            </w:r>
            <w:r>
              <w:rPr>
                <w:sz w:val="16"/>
              </w:rPr>
              <w:t xml:space="preserve">infuze </w:t>
            </w:r>
            <w:r>
              <w:rPr>
                <w:sz w:val="16"/>
              </w:rPr>
              <w:t xml:space="preserve">by měla </w:t>
            </w:r>
            <w:r>
              <w:rPr>
                <w:sz w:val="16"/>
              </w:rPr>
              <w:t xml:space="preserve">být </w:t>
            </w:r>
            <w:r>
              <w:rPr>
                <w:sz w:val="16"/>
              </w:rPr>
              <w:t xml:space="preserve">≤±2 %; mechanická chyba </w:t>
            </w:r>
            <w:r>
              <w:rPr>
                <w:sz w:val="16"/>
              </w:rPr>
              <w:t xml:space="preserve">by měla </w:t>
            </w:r>
            <w:r>
              <w:rPr>
                <w:sz w:val="16"/>
              </w:rPr>
              <w:t xml:space="preserve">být </w:t>
            </w:r>
            <w:r>
              <w:rPr>
                <w:spacing w:val="-4"/>
                <w:sz w:val="16"/>
              </w:rPr>
              <w:t>≤±1 %.</w:t>
            </w:r>
          </w:p>
        </w:tc>
      </w:tr>
    </w:tbl>
    <w:p>
      <w:pPr>
        <w:pStyle w:val="TableParagraph"/>
        <w:spacing w:after="0" w:line="240" w:lineRule="auto"/>
        <w:jc w:val="left"/>
        <w:rPr>
          <w:sz w:val="18"/>
        </w:rPr>
        <w:sectPr>
          <w:pgSz w:w="8390" w:h="11910"/>
          <w:pgMar w:top="660" w:right="425" w:bottom="540" w:left="425" w:header="0" w:footer="342"/>
          <w:cols w:space="708"/>
        </w:sectPr>
      </w:pPr>
    </w:p>
    <w:tbl>
      <w:tblPr>
        <w:tblStyle w:val="TableNormal"/>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1"/>
        <w:gridCol w:w="5533"/>
      </w:tblGrid>
      <w:tr>
        <w:tblPrEx>
          <w:tblW w:w="0" w:type="auto"/>
          <w:tblInd w:w="128" w:type="dxa"/>
          <w:tblLayout w:type="fixed"/>
          <w:tblLook w:val="01E0"/>
        </w:tblPrEx>
        <w:trPr>
          <w:trHeight w:val="3252"/>
        </w:trPr>
        <w:tc>
          <w:tcPr>
            <w:tcW w:w="176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73"/>
              <w:rPr>
                <w:b/>
                <w:sz w:val="18"/>
              </w:rPr>
            </w:pPr>
          </w:p>
          <w:p>
            <w:pPr>
              <w:pStyle w:val="TableParagraph"/>
              <w:ind w:left="85"/>
              <w:rPr>
                <w:sz w:val="18"/>
              </w:rPr>
            </w:pPr>
            <w:r>
              <w:rPr>
                <w:spacing w:val="-2"/>
                <w:sz w:val="16"/>
              </w:rPr>
              <w:t>Bolus</w:t>
            </w:r>
          </w:p>
        </w:tc>
        <w:tc>
          <w:tcPr>
            <w:tcW w:w="553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2"/>
              <w:rPr>
                <w:b/>
                <w:sz w:val="18"/>
              </w:rPr>
            </w:pPr>
          </w:p>
          <w:p>
            <w:pPr>
              <w:pStyle w:val="TableParagraph"/>
              <w:spacing w:line="250" w:lineRule="atLeast"/>
              <w:ind w:left="83" w:right="64"/>
              <w:rPr>
                <w:sz w:val="18"/>
              </w:rPr>
            </w:pPr>
            <w:r>
              <w:rPr>
                <w:sz w:val="16"/>
              </w:rPr>
              <w:t>Nastaven</w:t>
            </w:r>
            <w:r>
              <w:rPr>
                <w:sz w:val="16"/>
              </w:rPr>
              <w:t xml:space="preserve">ý </w:t>
            </w:r>
            <w:r>
              <w:rPr>
                <w:sz w:val="16"/>
              </w:rPr>
              <w:t xml:space="preserve">časový </w:t>
            </w:r>
            <w:r>
              <w:rPr>
                <w:sz w:val="16"/>
              </w:rPr>
              <w:t>rozsah:</w:t>
            </w:r>
            <w:r>
              <w:rPr>
                <w:sz w:val="16"/>
              </w:rPr>
              <w:t xml:space="preserve"> 0–99 h 59 min, </w:t>
            </w:r>
            <w:r>
              <w:rPr>
                <w:sz w:val="16"/>
              </w:rPr>
              <w:t xml:space="preserve">s </w:t>
            </w:r>
            <w:r>
              <w:rPr>
                <w:sz w:val="16"/>
              </w:rPr>
              <w:t xml:space="preserve">minimálním </w:t>
            </w:r>
            <w:r>
              <w:rPr>
                <w:sz w:val="16"/>
              </w:rPr>
              <w:t>přírůstkem</w:t>
            </w:r>
            <w:r>
              <w:rPr>
                <w:sz w:val="16"/>
              </w:rPr>
              <w:t xml:space="preserve"> 1 </w:t>
            </w:r>
            <w:r>
              <w:rPr>
                <w:sz w:val="16"/>
              </w:rPr>
              <w:t>minuta. Přesnost injekce: ±2 %</w:t>
            </w:r>
          </w:p>
        </w:tc>
      </w:tr>
      <w:tr>
        <w:tblPrEx>
          <w:tblW w:w="0" w:type="auto"/>
          <w:tblInd w:w="128" w:type="dxa"/>
          <w:tblLayout w:type="fixed"/>
          <w:tblLook w:val="01E0"/>
        </w:tblPrEx>
        <w:trPr>
          <w:trHeight w:val="2759"/>
        </w:trPr>
        <w:tc>
          <w:tcPr>
            <w:tcW w:w="176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1"/>
              <w:rPr>
                <w:b/>
                <w:sz w:val="18"/>
              </w:rPr>
            </w:pPr>
          </w:p>
          <w:p>
            <w:pPr>
              <w:pStyle w:val="TableParagraph"/>
              <w:spacing w:before="1" w:line="254" w:lineRule="auto"/>
              <w:ind w:left="85" w:right="253"/>
              <w:rPr>
                <w:sz w:val="18"/>
              </w:rPr>
            </w:pPr>
            <w:r>
              <w:rPr>
                <w:spacing w:val="-2"/>
                <w:sz w:val="16"/>
              </w:rPr>
              <w:t xml:space="preserve">Rychlost </w:t>
            </w:r>
            <w:r>
              <w:rPr>
                <w:sz w:val="16"/>
              </w:rPr>
              <w:t xml:space="preserve">proplachování </w:t>
            </w:r>
            <w:r>
              <w:rPr>
                <w:sz w:val="16"/>
              </w:rPr>
              <w:t>(</w:t>
            </w:r>
            <w:r>
              <w:rPr>
                <w:sz w:val="16"/>
              </w:rPr>
              <w:t>odvzdušnění)</w:t>
            </w:r>
          </w:p>
        </w:tc>
        <w:tc>
          <w:tcPr>
            <w:tcW w:w="5533" w:type="dxa"/>
          </w:tcPr>
          <w:p>
            <w:pPr>
              <w:pStyle w:val="TableParagraph"/>
              <w:rPr>
                <w:sz w:val="18"/>
              </w:rPr>
            </w:pPr>
          </w:p>
        </w:tc>
      </w:tr>
      <w:tr>
        <w:tblPrEx>
          <w:tblW w:w="0" w:type="auto"/>
          <w:tblInd w:w="128" w:type="dxa"/>
          <w:tblLayout w:type="fixed"/>
          <w:tblLook w:val="01E0"/>
        </w:tblPrEx>
        <w:trPr>
          <w:trHeight w:val="1567"/>
        </w:trPr>
        <w:tc>
          <w:tcPr>
            <w:tcW w:w="1761" w:type="dxa"/>
          </w:tcPr>
          <w:p>
            <w:pPr>
              <w:pStyle w:val="TableParagraph"/>
              <w:rPr>
                <w:b/>
                <w:sz w:val="18"/>
              </w:rPr>
            </w:pPr>
          </w:p>
          <w:p>
            <w:pPr>
              <w:pStyle w:val="TableParagraph"/>
              <w:rPr>
                <w:b/>
                <w:sz w:val="18"/>
              </w:rPr>
            </w:pPr>
          </w:p>
          <w:p>
            <w:pPr>
              <w:pStyle w:val="TableParagraph"/>
              <w:spacing w:before="59"/>
              <w:rPr>
                <w:b/>
                <w:sz w:val="18"/>
              </w:rPr>
            </w:pPr>
          </w:p>
          <w:p>
            <w:pPr>
              <w:pStyle w:val="TableParagraph"/>
              <w:ind w:left="85"/>
              <w:rPr>
                <w:sz w:val="18"/>
              </w:rPr>
            </w:pPr>
            <w:r>
              <w:rPr>
                <w:spacing w:val="-2"/>
                <w:sz w:val="16"/>
              </w:rPr>
              <w:t xml:space="preserve">Tlak </w:t>
            </w:r>
            <w:r>
              <w:rPr>
                <w:sz w:val="16"/>
              </w:rPr>
              <w:t>ucpání</w:t>
            </w:r>
          </w:p>
        </w:tc>
        <w:tc>
          <w:tcPr>
            <w:tcW w:w="5533" w:type="dxa"/>
          </w:tcPr>
          <w:p>
            <w:pPr>
              <w:pStyle w:val="TableParagraph"/>
              <w:spacing w:before="82" w:line="144" w:lineRule="auto"/>
              <w:ind w:left="83" w:right="64"/>
              <w:rPr>
                <w:rFonts w:ascii="Noto Sans CJK JP" w:eastAsia="Noto Sans CJK JP"/>
                <w:sz w:val="18"/>
              </w:rPr>
            </w:pPr>
            <w:r>
              <w:rPr>
                <w:sz w:val="16"/>
              </w:rPr>
              <w:t>Nastavitelný ve 3 stupních pro injekční stříkačky 2/2,5 ml; rozsah tlaku je (10</w:t>
            </w:r>
            <w:r>
              <w:rPr>
                <w:rFonts w:ascii="Noto Sans CJK JP" w:eastAsia="Noto Sans CJK JP"/>
                <w:sz w:val="16"/>
              </w:rPr>
              <w:t>～</w:t>
            </w:r>
            <w:r>
              <w:rPr>
                <w:sz w:val="16"/>
              </w:rPr>
              <w:t xml:space="preserve"> 69) </w:t>
            </w:r>
            <w:r>
              <w:rPr>
                <w:rFonts w:ascii="Noto Sans CJK JP" w:eastAsia="Noto Sans CJK JP"/>
                <w:sz w:val="16"/>
              </w:rPr>
              <w:t>kPa﹑</w:t>
            </w:r>
            <w:r>
              <w:rPr>
                <w:sz w:val="16"/>
              </w:rPr>
              <w:t>(70</w:t>
            </w:r>
            <w:r>
              <w:rPr>
                <w:rFonts w:ascii="Noto Sans CJK JP" w:eastAsia="Noto Sans CJK JP"/>
                <w:sz w:val="16"/>
              </w:rPr>
              <w:t>～</w:t>
            </w:r>
            <w:r>
              <w:rPr>
                <w:sz w:val="16"/>
              </w:rPr>
              <w:t xml:space="preserve">109) </w:t>
            </w:r>
            <w:r>
              <w:rPr>
                <w:rFonts w:ascii="Noto Sans CJK JP" w:eastAsia="Noto Sans CJK JP"/>
                <w:sz w:val="16"/>
              </w:rPr>
              <w:t>kPa﹑</w:t>
            </w:r>
            <w:r>
              <w:rPr>
                <w:sz w:val="16"/>
              </w:rPr>
              <w:t>(110</w:t>
            </w:r>
            <w:r>
              <w:rPr>
                <w:rFonts w:ascii="Noto Sans CJK JP" w:eastAsia="Noto Sans CJK JP"/>
                <w:sz w:val="16"/>
              </w:rPr>
              <w:t>～</w:t>
            </w:r>
            <w:r>
              <w:rPr>
                <w:sz w:val="16"/>
              </w:rPr>
              <w:t xml:space="preserve">149) kPa, výchozí </w:t>
            </w:r>
            <w:r>
              <w:rPr>
                <w:sz w:val="16"/>
              </w:rPr>
              <w:t xml:space="preserve">nastavení </w:t>
            </w:r>
            <w:r>
              <w:rPr>
                <w:sz w:val="16"/>
              </w:rPr>
              <w:t xml:space="preserve">je </w:t>
            </w:r>
            <w:r>
              <w:rPr>
                <w:sz w:val="16"/>
              </w:rPr>
              <w:t>(70</w:t>
            </w:r>
            <w:r>
              <w:rPr>
                <w:rFonts w:ascii="Noto Sans CJK JP" w:eastAsia="Noto Sans CJK JP"/>
                <w:sz w:val="16"/>
              </w:rPr>
              <w:t>～</w:t>
            </w:r>
          </w:p>
          <w:p>
            <w:pPr>
              <w:pStyle w:val="TableParagraph"/>
              <w:spacing w:line="189" w:lineRule="exact"/>
              <w:ind w:left="83"/>
              <w:rPr>
                <w:sz w:val="18"/>
              </w:rPr>
            </w:pPr>
            <w:r>
              <w:rPr>
                <w:spacing w:val="-2"/>
                <w:sz w:val="16"/>
              </w:rPr>
              <w:t>109) kPa.</w:t>
            </w:r>
          </w:p>
          <w:p>
            <w:pPr>
              <w:pStyle w:val="TableParagraph"/>
              <w:spacing w:before="44" w:line="192" w:lineRule="auto"/>
              <w:ind w:left="83" w:right="64"/>
              <w:rPr>
                <w:sz w:val="18"/>
              </w:rPr>
            </w:pPr>
            <w:r>
              <w:rPr>
                <w:sz w:val="16"/>
              </w:rPr>
              <w:t xml:space="preserve">Nastavitelné </w:t>
            </w:r>
            <w:r>
              <w:rPr>
                <w:sz w:val="16"/>
              </w:rPr>
              <w:t>ve</w:t>
            </w:r>
            <w:r>
              <w:rPr>
                <w:sz w:val="16"/>
              </w:rPr>
              <w:t xml:space="preserve"> 13 </w:t>
            </w:r>
            <w:r>
              <w:rPr>
                <w:sz w:val="16"/>
              </w:rPr>
              <w:t xml:space="preserve">stupních </w:t>
            </w:r>
            <w:r>
              <w:rPr>
                <w:sz w:val="16"/>
              </w:rPr>
              <w:t xml:space="preserve">pro </w:t>
            </w:r>
            <w:r>
              <w:rPr>
                <w:sz w:val="16"/>
              </w:rPr>
              <w:t xml:space="preserve">injekční stříkačky </w:t>
            </w:r>
            <w:r>
              <w:rPr>
                <w:sz w:val="16"/>
              </w:rPr>
              <w:t>(5–60) ml</w:t>
            </w:r>
            <w:r>
              <w:rPr>
                <w:sz w:val="16"/>
              </w:rPr>
              <w:t xml:space="preserve">; </w:t>
            </w:r>
            <w:r>
              <w:rPr>
                <w:sz w:val="16"/>
              </w:rPr>
              <w:t xml:space="preserve">rozsah </w:t>
            </w:r>
            <w:r>
              <w:rPr>
                <w:sz w:val="16"/>
              </w:rPr>
              <w:t xml:space="preserve">tlaku </w:t>
            </w:r>
            <w:r>
              <w:rPr>
                <w:sz w:val="16"/>
              </w:rPr>
              <w:t>je</w:t>
            </w:r>
            <w:r>
              <w:rPr>
                <w:sz w:val="16"/>
              </w:rPr>
              <w:t xml:space="preserve"> 10</w:t>
            </w:r>
            <w:r>
              <w:rPr>
                <w:rFonts w:ascii="Noto Sans CJK JP" w:eastAsia="Noto Sans CJK JP"/>
                <w:sz w:val="16"/>
              </w:rPr>
              <w:t>～</w:t>
            </w:r>
            <w:r>
              <w:rPr>
                <w:sz w:val="16"/>
              </w:rPr>
              <w:t xml:space="preserve"> 130 kPa, výchozí nastavení na 4. úrovni.</w:t>
            </w:r>
          </w:p>
          <w:p>
            <w:pPr>
              <w:pStyle w:val="TableParagraph"/>
              <w:spacing w:before="82"/>
              <w:ind w:left="83"/>
              <w:rPr>
                <w:sz w:val="18"/>
              </w:rPr>
            </w:pPr>
            <w:r>
              <w:rPr>
                <w:sz w:val="16"/>
              </w:rPr>
              <w:t xml:space="preserve">Jednotky </w:t>
            </w:r>
            <w:r>
              <w:rPr>
                <w:sz w:val="16"/>
              </w:rPr>
              <w:t xml:space="preserve">lze </w:t>
            </w:r>
            <w:r>
              <w:rPr>
                <w:sz w:val="16"/>
              </w:rPr>
              <w:t xml:space="preserve">volit jako </w:t>
            </w:r>
            <w:r>
              <w:rPr>
                <w:sz w:val="16"/>
              </w:rPr>
              <w:t xml:space="preserve">kPa, </w:t>
            </w:r>
            <w:r>
              <w:rPr>
                <w:sz w:val="16"/>
              </w:rPr>
              <w:t xml:space="preserve">bar, </w:t>
            </w:r>
            <w:r>
              <w:rPr>
                <w:sz w:val="16"/>
              </w:rPr>
              <w:t xml:space="preserve">mmHg, </w:t>
            </w:r>
            <w:r>
              <w:rPr>
                <w:sz w:val="16"/>
              </w:rPr>
              <w:t xml:space="preserve">psi; </w:t>
            </w:r>
            <w:r>
              <w:rPr>
                <w:sz w:val="16"/>
              </w:rPr>
              <w:t xml:space="preserve">výchozí nastavení: </w:t>
            </w:r>
            <w:r>
              <w:rPr>
                <w:spacing w:val="-4"/>
                <w:sz w:val="16"/>
              </w:rPr>
              <w:t>kPa.</w:t>
            </w:r>
          </w:p>
        </w:tc>
      </w:tr>
      <w:tr>
        <w:tblPrEx>
          <w:tblW w:w="0" w:type="auto"/>
          <w:tblInd w:w="128" w:type="dxa"/>
          <w:tblLayout w:type="fixed"/>
          <w:tblLook w:val="01E0"/>
        </w:tblPrEx>
        <w:trPr>
          <w:trHeight w:val="563"/>
        </w:trPr>
        <w:tc>
          <w:tcPr>
            <w:tcW w:w="1761" w:type="dxa"/>
          </w:tcPr>
          <w:p>
            <w:pPr>
              <w:pStyle w:val="TableParagraph"/>
              <w:spacing w:before="69" w:line="256" w:lineRule="auto"/>
              <w:ind w:left="85" w:right="253"/>
              <w:rPr>
                <w:sz w:val="18"/>
              </w:rPr>
            </w:pPr>
            <w:r>
              <w:rPr>
                <w:sz w:val="16"/>
              </w:rPr>
              <w:t>Elektron</w:t>
            </w:r>
            <w:r>
              <w:rPr>
                <w:spacing w:val="-2"/>
                <w:sz w:val="16"/>
              </w:rPr>
              <w:t xml:space="preserve">ická </w:t>
            </w:r>
            <w:r>
              <w:rPr>
                <w:sz w:val="16"/>
              </w:rPr>
              <w:t>paměť</w:t>
            </w:r>
          </w:p>
        </w:tc>
        <w:tc>
          <w:tcPr>
            <w:tcW w:w="5533" w:type="dxa"/>
          </w:tcPr>
          <w:p>
            <w:pPr>
              <w:pStyle w:val="TableParagraph"/>
              <w:spacing w:before="179"/>
              <w:ind w:left="83"/>
              <w:rPr>
                <w:sz w:val="18"/>
              </w:rPr>
            </w:pPr>
            <w:r>
              <w:rPr>
                <w:sz w:val="16"/>
              </w:rPr>
              <w:t>Nejméně</w:t>
            </w:r>
            <w:r>
              <w:rPr>
                <w:sz w:val="16"/>
              </w:rPr>
              <w:t xml:space="preserve"> 8 </w:t>
            </w:r>
            <w:r>
              <w:rPr>
                <w:spacing w:val="-2"/>
                <w:sz w:val="16"/>
              </w:rPr>
              <w:t>let</w:t>
            </w:r>
          </w:p>
        </w:tc>
      </w:tr>
      <w:tr>
        <w:tblPrEx>
          <w:tblW w:w="0" w:type="auto"/>
          <w:tblInd w:w="128" w:type="dxa"/>
          <w:tblLayout w:type="fixed"/>
          <w:tblLook w:val="01E0"/>
        </w:tblPrEx>
        <w:trPr>
          <w:trHeight w:val="563"/>
        </w:trPr>
        <w:tc>
          <w:tcPr>
            <w:tcW w:w="1761" w:type="dxa"/>
          </w:tcPr>
          <w:p>
            <w:pPr>
              <w:pStyle w:val="TableParagraph"/>
              <w:spacing w:before="69" w:line="256" w:lineRule="auto"/>
              <w:ind w:left="85"/>
              <w:rPr>
                <w:sz w:val="18"/>
              </w:rPr>
            </w:pPr>
            <w:r>
              <w:rPr>
                <w:sz w:val="16"/>
              </w:rPr>
              <w:t xml:space="preserve">Výstup </w:t>
            </w:r>
            <w:r>
              <w:rPr>
                <w:sz w:val="16"/>
              </w:rPr>
              <w:t xml:space="preserve">chyby </w:t>
            </w:r>
            <w:r>
              <w:rPr>
                <w:sz w:val="16"/>
              </w:rPr>
              <w:t xml:space="preserve">v </w:t>
            </w:r>
            <w:r>
              <w:rPr>
                <w:sz w:val="16"/>
              </w:rPr>
              <w:t>případě jedné poruchy</w:t>
            </w:r>
          </w:p>
        </w:tc>
        <w:tc>
          <w:tcPr>
            <w:tcW w:w="5533" w:type="dxa"/>
          </w:tcPr>
          <w:p>
            <w:pPr>
              <w:pStyle w:val="TableParagraph"/>
              <w:spacing w:before="179"/>
              <w:ind w:left="83"/>
              <w:rPr>
                <w:sz w:val="18"/>
              </w:rPr>
            </w:pPr>
            <w:r>
              <w:rPr>
                <w:sz w:val="16"/>
              </w:rPr>
              <w:t xml:space="preserve">Výstupní </w:t>
            </w:r>
            <w:r>
              <w:rPr>
                <w:sz w:val="16"/>
              </w:rPr>
              <w:t xml:space="preserve">chyba </w:t>
            </w:r>
            <w:r>
              <w:rPr>
                <w:sz w:val="16"/>
              </w:rPr>
              <w:t xml:space="preserve">v </w:t>
            </w:r>
            <w:r>
              <w:rPr>
                <w:sz w:val="16"/>
              </w:rPr>
              <w:t xml:space="preserve">případě </w:t>
            </w:r>
            <w:r>
              <w:rPr>
                <w:sz w:val="16"/>
              </w:rPr>
              <w:t xml:space="preserve">jedné </w:t>
            </w:r>
            <w:r>
              <w:rPr>
                <w:sz w:val="16"/>
              </w:rPr>
              <w:t xml:space="preserve">poruchy </w:t>
            </w:r>
            <w:r>
              <w:rPr>
                <w:sz w:val="16"/>
              </w:rPr>
              <w:t>nepřesahuje</w:t>
            </w:r>
            <w:r>
              <w:rPr>
                <w:spacing w:val="-2"/>
                <w:sz w:val="16"/>
              </w:rPr>
              <w:t xml:space="preserve"> 0,2 ml.</w:t>
            </w:r>
          </w:p>
        </w:tc>
      </w:tr>
      <w:tr>
        <w:tblPrEx>
          <w:tblW w:w="0" w:type="auto"/>
          <w:tblInd w:w="128" w:type="dxa"/>
          <w:tblLayout w:type="fixed"/>
          <w:tblLook w:val="01E0"/>
        </w:tblPrEx>
        <w:trPr>
          <w:trHeight w:val="344"/>
        </w:trPr>
        <w:tc>
          <w:tcPr>
            <w:tcW w:w="1761" w:type="dxa"/>
          </w:tcPr>
          <w:p>
            <w:pPr>
              <w:pStyle w:val="TableParagraph"/>
              <w:spacing w:before="68"/>
              <w:ind w:left="85"/>
              <w:rPr>
                <w:sz w:val="18"/>
              </w:rPr>
            </w:pPr>
            <w:r>
              <w:rPr>
                <w:spacing w:val="-2"/>
                <w:sz w:val="16"/>
              </w:rPr>
              <w:t xml:space="preserve">Stupeň </w:t>
            </w:r>
            <w:r>
              <w:rPr>
                <w:spacing w:val="-2"/>
                <w:sz w:val="16"/>
              </w:rPr>
              <w:t>vodotěsnosti</w:t>
            </w:r>
          </w:p>
        </w:tc>
        <w:tc>
          <w:tcPr>
            <w:tcW w:w="5533" w:type="dxa"/>
          </w:tcPr>
          <w:p>
            <w:pPr>
              <w:pStyle w:val="TableParagraph"/>
              <w:spacing w:before="68"/>
              <w:ind w:left="83"/>
              <w:rPr>
                <w:sz w:val="18"/>
              </w:rPr>
            </w:pPr>
            <w:r>
              <w:rPr>
                <w:spacing w:val="-4"/>
                <w:sz w:val="16"/>
              </w:rPr>
              <w:t>IP44</w:t>
            </w:r>
          </w:p>
        </w:tc>
      </w:tr>
      <w:tr>
        <w:tblPrEx>
          <w:tblW w:w="0" w:type="auto"/>
          <w:tblInd w:w="128" w:type="dxa"/>
          <w:tblLayout w:type="fixed"/>
          <w:tblLook w:val="01E0"/>
        </w:tblPrEx>
        <w:trPr>
          <w:trHeight w:val="343"/>
        </w:trPr>
        <w:tc>
          <w:tcPr>
            <w:tcW w:w="1761" w:type="dxa"/>
          </w:tcPr>
          <w:p>
            <w:pPr>
              <w:pStyle w:val="TableParagraph"/>
              <w:spacing w:before="69"/>
              <w:ind w:left="85"/>
              <w:rPr>
                <w:sz w:val="18"/>
              </w:rPr>
            </w:pPr>
            <w:r>
              <w:rPr>
                <w:spacing w:val="-2"/>
                <w:sz w:val="16"/>
              </w:rPr>
              <w:t xml:space="preserve">Napájení </w:t>
            </w:r>
            <w:r>
              <w:rPr>
                <w:sz w:val="16"/>
              </w:rPr>
              <w:t xml:space="preserve">střídavým </w:t>
            </w:r>
            <w:r>
              <w:rPr>
                <w:sz w:val="16"/>
              </w:rPr>
              <w:t>proudem</w:t>
            </w:r>
          </w:p>
        </w:tc>
        <w:tc>
          <w:tcPr>
            <w:tcW w:w="5533" w:type="dxa"/>
          </w:tcPr>
          <w:p>
            <w:pPr>
              <w:pStyle w:val="TableParagraph"/>
              <w:spacing w:line="324" w:lineRule="exact"/>
              <w:ind w:left="83"/>
              <w:rPr>
                <w:sz w:val="18"/>
              </w:rPr>
            </w:pPr>
            <w:r>
              <w:rPr>
                <w:sz w:val="16"/>
              </w:rPr>
              <w:t>100–240 V</w:t>
            </w:r>
            <w:r>
              <w:rPr>
                <w:rFonts w:ascii="Noto Sans CJK JP" w:eastAsia="Noto Sans CJK JP"/>
                <w:sz w:val="16"/>
              </w:rPr>
              <w:t>,</w:t>
            </w:r>
            <w:r>
              <w:rPr>
                <w:spacing w:val="-2"/>
                <w:sz w:val="16"/>
              </w:rPr>
              <w:t xml:space="preserve"> 50 Hz/60 Hz</w:t>
            </w:r>
          </w:p>
        </w:tc>
      </w:tr>
      <w:tr>
        <w:tblPrEx>
          <w:tblW w:w="0" w:type="auto"/>
          <w:tblInd w:w="128" w:type="dxa"/>
          <w:tblLayout w:type="fixed"/>
          <w:tblLook w:val="01E0"/>
        </w:tblPrEx>
        <w:trPr>
          <w:trHeight w:val="342"/>
        </w:trPr>
        <w:tc>
          <w:tcPr>
            <w:tcW w:w="1761" w:type="dxa"/>
          </w:tcPr>
          <w:p>
            <w:pPr>
              <w:pStyle w:val="TableParagraph"/>
              <w:spacing w:before="68"/>
              <w:ind w:left="85"/>
              <w:rPr>
                <w:sz w:val="18"/>
              </w:rPr>
            </w:pPr>
            <w:r>
              <w:rPr>
                <w:spacing w:val="-2"/>
                <w:sz w:val="16"/>
              </w:rPr>
              <w:t>Pří</w:t>
            </w:r>
            <w:r>
              <w:rPr>
                <w:sz w:val="16"/>
              </w:rPr>
              <w:t>kon</w:t>
            </w:r>
          </w:p>
        </w:tc>
        <w:tc>
          <w:tcPr>
            <w:tcW w:w="5533" w:type="dxa"/>
          </w:tcPr>
          <w:p>
            <w:pPr>
              <w:pStyle w:val="TableParagraph"/>
              <w:spacing w:before="68"/>
              <w:ind w:left="83"/>
              <w:rPr>
                <w:sz w:val="18"/>
              </w:rPr>
            </w:pPr>
            <w:r>
              <w:rPr>
                <w:spacing w:val="-4"/>
                <w:sz w:val="16"/>
              </w:rPr>
              <w:t>35 VA</w:t>
            </w:r>
          </w:p>
        </w:tc>
      </w:tr>
    </w:tbl>
    <w:p>
      <w:pPr>
        <w:rPr>
          <w:sz w:val="2"/>
          <w:szCs w:val="2"/>
        </w:rPr>
      </w:pPr>
      <w:r>
        <w:rPr>
          <w:sz w:val="2"/>
          <w:szCs w:val="2"/>
        </w:rPr>
        <mc:AlternateContent>
          <mc:Choice Requires="wps">
            <w:drawing>
              <wp:anchor distT="0" distB="0" distL="0" distR="0" simplePos="0" relativeHeight="251658240" behindDoc="0" locked="0" layoutInCell="1" allowOverlap="1">
                <wp:simplePos x="0" y="0"/>
                <wp:positionH relativeFrom="page">
                  <wp:posOffset>1466341</wp:posOffset>
                </wp:positionH>
                <wp:positionV relativeFrom="page">
                  <wp:posOffset>536574</wp:posOffset>
                </wp:positionV>
                <wp:extent cx="3513454" cy="1651634"/>
                <wp:effectExtent l="0" t="0" r="0" b="0"/>
                <wp:wrapNone/>
                <wp:docPr id="4"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3513454" cy="1651634"/>
                        </a:xfrm>
                        <a:prstGeom prst="rect">
                          <a:avLst/>
                        </a:prstGeom>
                      </wps:spPr>
                      <wps:txbx>
                        <w:txbxContent>
                          <w:tbl>
                            <w:tblPr>
                              <w:tblStyle w:val="TableNormal"/>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5"/>
                              <w:gridCol w:w="1420"/>
                              <w:gridCol w:w="1419"/>
                              <w:gridCol w:w="1639"/>
                            </w:tblGrid>
                            <w:tr>
                              <w:tblPrEx>
                                <w:tblW w:w="0" w:type="auto"/>
                                <w:tblInd w:w="65" w:type="dxa"/>
                                <w:tblLayout w:type="fixed"/>
                                <w:tblLook w:val="01E0"/>
                              </w:tblPrEx>
                              <w:trPr>
                                <w:trHeight w:val="755"/>
                              </w:trPr>
                              <w:tc>
                                <w:tcPr>
                                  <w:tcW w:w="925" w:type="dxa"/>
                                </w:tcPr>
                                <w:p>
                                  <w:pPr>
                                    <w:pStyle w:val="TableParagraph"/>
                                    <w:spacing w:before="166" w:line="254" w:lineRule="auto"/>
                                    <w:ind w:left="306" w:right="168" w:hanging="125"/>
                                    <w:rPr>
                                      <w:sz w:val="18"/>
                                    </w:rPr>
                                  </w:pPr>
                                  <w:r>
                                    <w:rPr>
                                      <w:spacing w:val="-2"/>
                                      <w:sz w:val="16"/>
                                    </w:rPr>
                                    <w:t xml:space="preserve">Stříkačka </w:t>
                                  </w:r>
                                  <w:r>
                                    <w:rPr>
                                      <w:spacing w:val="-4"/>
                                      <w:sz w:val="16"/>
                                    </w:rPr>
                                    <w:t>(ml)</w:t>
                                  </w:r>
                                </w:p>
                              </w:tc>
                              <w:tc>
                                <w:tcPr>
                                  <w:tcW w:w="1420" w:type="dxa"/>
                                </w:tcPr>
                                <w:p>
                                  <w:pPr>
                                    <w:pStyle w:val="TableParagraph"/>
                                    <w:spacing w:before="166" w:line="254" w:lineRule="auto"/>
                                    <w:ind w:left="485" w:right="302" w:hanging="173"/>
                                    <w:rPr>
                                      <w:sz w:val="18"/>
                                    </w:rPr>
                                  </w:pPr>
                                  <w:r>
                                    <w:rPr>
                                      <w:sz w:val="16"/>
                                    </w:rPr>
                                    <w:t xml:space="preserve">Rychlost </w:t>
                                  </w:r>
                                  <w:r>
                                    <w:rPr>
                                      <w:sz w:val="16"/>
                                    </w:rPr>
                                    <w:t xml:space="preserve">bolusu </w:t>
                                  </w:r>
                                  <w:r>
                                    <w:rPr>
                                      <w:spacing w:val="-2"/>
                                      <w:sz w:val="16"/>
                                    </w:rPr>
                                    <w:t>(ml/h)</w:t>
                                  </w:r>
                                </w:p>
                              </w:tc>
                              <w:tc>
                                <w:tcPr>
                                  <w:tcW w:w="1419" w:type="dxa"/>
                                </w:tcPr>
                                <w:p>
                                  <w:pPr>
                                    <w:pStyle w:val="TableParagraph"/>
                                    <w:spacing w:before="55" w:line="254" w:lineRule="auto"/>
                                    <w:ind w:left="162" w:right="151"/>
                                    <w:jc w:val="center"/>
                                    <w:rPr>
                                      <w:sz w:val="18"/>
                                    </w:rPr>
                                  </w:pPr>
                                  <w:r>
                                    <w:rPr>
                                      <w:sz w:val="16"/>
                                    </w:rPr>
                                    <w:t xml:space="preserve">Minimální </w:t>
                                  </w:r>
                                  <w:r>
                                    <w:rPr>
                                      <w:spacing w:val="-2"/>
                                      <w:sz w:val="16"/>
                                    </w:rPr>
                                    <w:t>přírůstek</w:t>
                                  </w:r>
                                  <w:r>
                                    <w:rPr>
                                      <w:sz w:val="16"/>
                                    </w:rPr>
                                    <w:t xml:space="preserve"> dávky </w:t>
                                  </w:r>
                                  <w:r>
                                    <w:rPr>
                                      <w:spacing w:val="-2"/>
                                      <w:sz w:val="16"/>
                                    </w:rPr>
                                    <w:t>(ml/h)</w:t>
                                  </w:r>
                                </w:p>
                              </w:tc>
                              <w:tc>
                                <w:tcPr>
                                  <w:tcW w:w="1639" w:type="dxa"/>
                                </w:tcPr>
                                <w:p>
                                  <w:pPr>
                                    <w:pStyle w:val="TableParagraph"/>
                                    <w:spacing w:before="55" w:line="254" w:lineRule="auto"/>
                                    <w:ind w:left="147" w:right="137" w:hanging="3"/>
                                    <w:jc w:val="center"/>
                                    <w:rPr>
                                      <w:sz w:val="18"/>
                                    </w:rPr>
                                  </w:pPr>
                                  <w:r>
                                    <w:rPr>
                                      <w:sz w:val="16"/>
                                    </w:rPr>
                                    <w:t xml:space="preserve">Rozsah </w:t>
                                  </w:r>
                                  <w:r>
                                    <w:rPr>
                                      <w:sz w:val="16"/>
                                    </w:rPr>
                                    <w:t xml:space="preserve">nastavení přednastaveného objemu </w:t>
                                  </w:r>
                                  <w:r>
                                    <w:rPr>
                                      <w:spacing w:val="-4"/>
                                      <w:sz w:val="16"/>
                                    </w:rPr>
                                    <w:t>(ml)</w:t>
                                  </w:r>
                                </w:p>
                              </w:tc>
                            </w:tr>
                            <w:tr>
                              <w:tblPrEx>
                                <w:tblW w:w="0" w:type="auto"/>
                                <w:tblInd w:w="65" w:type="dxa"/>
                                <w:tblLayout w:type="fixed"/>
                                <w:tblLook w:val="01E0"/>
                              </w:tblPrEx>
                              <w:trPr>
                                <w:trHeight w:val="282"/>
                              </w:trPr>
                              <w:tc>
                                <w:tcPr>
                                  <w:tcW w:w="925" w:type="dxa"/>
                                </w:tcPr>
                                <w:p>
                                  <w:pPr>
                                    <w:pStyle w:val="TableParagraph"/>
                                    <w:spacing w:before="38"/>
                                    <w:ind w:left="11"/>
                                    <w:jc w:val="center"/>
                                    <w:rPr>
                                      <w:sz w:val="18"/>
                                    </w:rPr>
                                  </w:pPr>
                                  <w:r>
                                    <w:rPr>
                                      <w:spacing w:val="-2"/>
                                      <w:sz w:val="16"/>
                                    </w:rPr>
                                    <w:t>2/2,5</w:t>
                                  </w:r>
                                </w:p>
                              </w:tc>
                              <w:tc>
                                <w:tcPr>
                                  <w:tcW w:w="1420" w:type="dxa"/>
                                </w:tcPr>
                                <w:p>
                                  <w:pPr>
                                    <w:pStyle w:val="TableParagraph"/>
                                    <w:spacing w:before="38"/>
                                    <w:ind w:left="8"/>
                                    <w:jc w:val="center"/>
                                    <w:rPr>
                                      <w:sz w:val="18"/>
                                    </w:rPr>
                                  </w:pPr>
                                  <w:r>
                                    <w:rPr>
                                      <w:spacing w:val="-2"/>
                                      <w:sz w:val="16"/>
                                    </w:rPr>
                                    <w:t>0,10–150,00</w:t>
                                  </w:r>
                                </w:p>
                              </w:tc>
                              <w:tc>
                                <w:tcPr>
                                  <w:tcW w:w="1419" w:type="dxa"/>
                                  <w:vMerge w:val="restart"/>
                                </w:tcPr>
                                <w:p>
                                  <w:pPr>
                                    <w:pStyle w:val="TableParagraph"/>
                                    <w:rPr>
                                      <w:b/>
                                      <w:sz w:val="18"/>
                                    </w:rPr>
                                  </w:pPr>
                                </w:p>
                                <w:p>
                                  <w:pPr>
                                    <w:pStyle w:val="TableParagraph"/>
                                    <w:spacing w:before="126"/>
                                    <w:rPr>
                                      <w:b/>
                                      <w:sz w:val="18"/>
                                    </w:rPr>
                                  </w:pPr>
                                </w:p>
                                <w:p>
                                  <w:pPr>
                                    <w:pStyle w:val="TableParagraph"/>
                                    <w:ind w:left="9"/>
                                    <w:jc w:val="center"/>
                                    <w:rPr>
                                      <w:sz w:val="18"/>
                                    </w:rPr>
                                  </w:pPr>
                                  <w:r>
                                    <w:rPr>
                                      <w:spacing w:val="-4"/>
                                      <w:sz w:val="16"/>
                                    </w:rPr>
                                    <w:t>0</w:t>
                                  </w:r>
                                </w:p>
                              </w:tc>
                              <w:tc>
                                <w:tcPr>
                                  <w:tcW w:w="1639" w:type="dxa"/>
                                </w:tcPr>
                                <w:p>
                                  <w:pPr>
                                    <w:pStyle w:val="TableParagraph"/>
                                    <w:spacing w:before="38"/>
                                    <w:ind w:left="8"/>
                                    <w:jc w:val="center"/>
                                    <w:rPr>
                                      <w:sz w:val="18"/>
                                    </w:rPr>
                                  </w:pPr>
                                  <w:r>
                                    <w:rPr>
                                      <w:sz w:val="16"/>
                                    </w:rPr>
                                    <w:t>0,</w:t>
                                  </w:r>
                                  <w:r>
                                    <w:rPr>
                                      <w:spacing w:val="-4"/>
                                      <w:sz w:val="16"/>
                                    </w:rPr>
                                    <w:t>00–3,00</w:t>
                                  </w:r>
                                </w:p>
                              </w:tc>
                            </w:tr>
                            <w:tr>
                              <w:tblPrEx>
                                <w:tblW w:w="0" w:type="auto"/>
                                <w:tblInd w:w="65" w:type="dxa"/>
                                <w:tblLayout w:type="fixed"/>
                                <w:tblLook w:val="01E0"/>
                              </w:tblPrEx>
                              <w:trPr>
                                <w:trHeight w:val="282"/>
                              </w:trPr>
                              <w:tc>
                                <w:tcPr>
                                  <w:tcW w:w="925" w:type="dxa"/>
                                </w:tcPr>
                                <w:p>
                                  <w:pPr>
                                    <w:pStyle w:val="TableParagraph"/>
                                    <w:spacing w:before="37"/>
                                    <w:ind w:left="11" w:right="3"/>
                                    <w:jc w:val="center"/>
                                    <w:rPr>
                                      <w:sz w:val="18"/>
                                    </w:rPr>
                                  </w:pPr>
                                  <w:r>
                                    <w:rPr>
                                      <w:spacing w:val="-10"/>
                                      <w:sz w:val="16"/>
                                    </w:rPr>
                                    <w:t>5</w:t>
                                  </w:r>
                                </w:p>
                              </w:tc>
                              <w:tc>
                                <w:tcPr>
                                  <w:tcW w:w="1420" w:type="dxa"/>
                                </w:tcPr>
                                <w:p>
                                  <w:pPr>
                                    <w:pStyle w:val="TableParagraph"/>
                                    <w:spacing w:before="37"/>
                                    <w:ind w:left="8"/>
                                    <w:jc w:val="center"/>
                                    <w:rPr>
                                      <w:sz w:val="18"/>
                                    </w:rPr>
                                  </w:pPr>
                                  <w:r>
                                    <w:rPr>
                                      <w:spacing w:val="-2"/>
                                      <w:sz w:val="16"/>
                                    </w:rPr>
                                    <w:t>0,10–150,00</w:t>
                                  </w:r>
                                </w:p>
                              </w:tc>
                              <w:tc>
                                <w:tcPr>
                                  <w:tcW w:w="1419" w:type="dxa"/>
                                  <w:vMerge/>
                                  <w:tcBorders>
                                    <w:top w:val="nil"/>
                                  </w:tcBorders>
                                </w:tcPr>
                                <w:p>
                                  <w:pPr>
                                    <w:rPr>
                                      <w:sz w:val="2"/>
                                      <w:szCs w:val="2"/>
                                    </w:rPr>
                                  </w:pPr>
                                </w:p>
                              </w:tc>
                              <w:tc>
                                <w:tcPr>
                                  <w:tcW w:w="1639" w:type="dxa"/>
                                </w:tcPr>
                                <w:p>
                                  <w:pPr>
                                    <w:pStyle w:val="TableParagraph"/>
                                    <w:spacing w:before="37"/>
                                    <w:ind w:left="8"/>
                                    <w:jc w:val="center"/>
                                    <w:rPr>
                                      <w:sz w:val="18"/>
                                    </w:rPr>
                                  </w:pPr>
                                  <w:r>
                                    <w:rPr>
                                      <w:sz w:val="16"/>
                                    </w:rPr>
                                    <w:t>0,</w:t>
                                  </w:r>
                                  <w:r>
                                    <w:rPr>
                                      <w:spacing w:val="-4"/>
                                      <w:sz w:val="16"/>
                                    </w:rPr>
                                    <w:t>00–6,00</w:t>
                                  </w:r>
                                </w:p>
                              </w:tc>
                            </w:tr>
                            <w:tr>
                              <w:tblPrEx>
                                <w:tblW w:w="0" w:type="auto"/>
                                <w:tblInd w:w="65" w:type="dxa"/>
                                <w:tblLayout w:type="fixed"/>
                                <w:tblLook w:val="01E0"/>
                              </w:tblPrEx>
                              <w:trPr>
                                <w:trHeight w:val="307"/>
                              </w:trPr>
                              <w:tc>
                                <w:tcPr>
                                  <w:tcW w:w="925" w:type="dxa"/>
                                </w:tcPr>
                                <w:p>
                                  <w:pPr>
                                    <w:pStyle w:val="TableParagraph"/>
                                    <w:spacing w:before="37"/>
                                    <w:ind w:left="11" w:right="3"/>
                                    <w:jc w:val="center"/>
                                    <w:rPr>
                                      <w:sz w:val="18"/>
                                    </w:rPr>
                                  </w:pPr>
                                  <w:r>
                                    <w:rPr>
                                      <w:spacing w:val="-5"/>
                                      <w:sz w:val="16"/>
                                    </w:rPr>
                                    <w:t>10</w:t>
                                  </w:r>
                                </w:p>
                              </w:tc>
                              <w:tc>
                                <w:tcPr>
                                  <w:tcW w:w="1420" w:type="dxa"/>
                                </w:tcPr>
                                <w:p>
                                  <w:pPr>
                                    <w:pStyle w:val="TableParagraph"/>
                                    <w:spacing w:before="37"/>
                                    <w:ind w:left="8"/>
                                    <w:jc w:val="center"/>
                                    <w:rPr>
                                      <w:sz w:val="18"/>
                                    </w:rPr>
                                  </w:pPr>
                                  <w:r>
                                    <w:rPr>
                                      <w:spacing w:val="-2"/>
                                      <w:sz w:val="16"/>
                                    </w:rPr>
                                    <w:t>0,10–300,00</w:t>
                                  </w:r>
                                </w:p>
                              </w:tc>
                              <w:tc>
                                <w:tcPr>
                                  <w:tcW w:w="1419" w:type="dxa"/>
                                  <w:vMerge/>
                                  <w:tcBorders>
                                    <w:top w:val="nil"/>
                                  </w:tcBorders>
                                </w:tcPr>
                                <w:p>
                                  <w:pPr>
                                    <w:rPr>
                                      <w:sz w:val="2"/>
                                      <w:szCs w:val="2"/>
                                    </w:rPr>
                                  </w:pPr>
                                </w:p>
                              </w:tc>
                              <w:tc>
                                <w:tcPr>
                                  <w:tcW w:w="1639" w:type="dxa"/>
                                </w:tcPr>
                                <w:p>
                                  <w:pPr>
                                    <w:pStyle w:val="TableParagraph"/>
                                    <w:spacing w:before="37"/>
                                    <w:ind w:left="8"/>
                                    <w:jc w:val="center"/>
                                    <w:rPr>
                                      <w:sz w:val="18"/>
                                    </w:rPr>
                                  </w:pPr>
                                  <w:r>
                                    <w:rPr>
                                      <w:sz w:val="16"/>
                                    </w:rPr>
                                    <w:t>0,</w:t>
                                  </w:r>
                                  <w:r>
                                    <w:rPr>
                                      <w:spacing w:val="-2"/>
                                      <w:sz w:val="16"/>
                                    </w:rPr>
                                    <w:t>00–12,00</w:t>
                                  </w:r>
                                </w:p>
                              </w:tc>
                            </w:tr>
                            <w:tr>
                              <w:tblPrEx>
                                <w:tblW w:w="0" w:type="auto"/>
                                <w:tblInd w:w="65" w:type="dxa"/>
                                <w:tblLayout w:type="fixed"/>
                                <w:tblLook w:val="01E0"/>
                              </w:tblPrEx>
                              <w:trPr>
                                <w:trHeight w:val="307"/>
                              </w:trPr>
                              <w:tc>
                                <w:tcPr>
                                  <w:tcW w:w="925" w:type="dxa"/>
                                </w:tcPr>
                                <w:p>
                                  <w:pPr>
                                    <w:pStyle w:val="TableParagraph"/>
                                    <w:spacing w:before="39"/>
                                    <w:ind w:left="11" w:right="3"/>
                                    <w:jc w:val="center"/>
                                    <w:rPr>
                                      <w:sz w:val="18"/>
                                    </w:rPr>
                                  </w:pPr>
                                  <w:r>
                                    <w:rPr>
                                      <w:spacing w:val="-5"/>
                                      <w:sz w:val="16"/>
                                    </w:rPr>
                                    <w:t>20</w:t>
                                  </w:r>
                                </w:p>
                              </w:tc>
                              <w:tc>
                                <w:tcPr>
                                  <w:tcW w:w="1420" w:type="dxa"/>
                                </w:tcPr>
                                <w:p>
                                  <w:pPr>
                                    <w:pStyle w:val="TableParagraph"/>
                                    <w:spacing w:before="39"/>
                                    <w:ind w:left="8"/>
                                    <w:jc w:val="center"/>
                                    <w:rPr>
                                      <w:sz w:val="18"/>
                                    </w:rPr>
                                  </w:pPr>
                                  <w:r>
                                    <w:rPr>
                                      <w:spacing w:val="-2"/>
                                      <w:sz w:val="16"/>
                                    </w:rPr>
                                    <w:t>0,10–600,00</w:t>
                                  </w:r>
                                </w:p>
                              </w:tc>
                              <w:tc>
                                <w:tcPr>
                                  <w:tcW w:w="1419" w:type="dxa"/>
                                  <w:vMerge/>
                                  <w:tcBorders>
                                    <w:top w:val="nil"/>
                                  </w:tcBorders>
                                </w:tcPr>
                                <w:p>
                                  <w:pPr>
                                    <w:rPr>
                                      <w:sz w:val="2"/>
                                      <w:szCs w:val="2"/>
                                    </w:rPr>
                                  </w:pPr>
                                </w:p>
                              </w:tc>
                              <w:tc>
                                <w:tcPr>
                                  <w:tcW w:w="1639" w:type="dxa"/>
                                </w:tcPr>
                                <w:p>
                                  <w:pPr>
                                    <w:pStyle w:val="TableParagraph"/>
                                    <w:spacing w:before="39"/>
                                    <w:ind w:left="8"/>
                                    <w:jc w:val="center"/>
                                    <w:rPr>
                                      <w:sz w:val="18"/>
                                    </w:rPr>
                                  </w:pPr>
                                  <w:r>
                                    <w:rPr>
                                      <w:sz w:val="16"/>
                                    </w:rPr>
                                    <w:t>0,</w:t>
                                  </w:r>
                                  <w:r>
                                    <w:rPr>
                                      <w:spacing w:val="-2"/>
                                      <w:sz w:val="16"/>
                                    </w:rPr>
                                    <w:t>00–24,00</w:t>
                                  </w:r>
                                </w:p>
                              </w:tc>
                            </w:tr>
                            <w:tr>
                              <w:tblPrEx>
                                <w:tblW w:w="0" w:type="auto"/>
                                <w:tblInd w:w="65" w:type="dxa"/>
                                <w:tblLayout w:type="fixed"/>
                                <w:tblLook w:val="01E0"/>
                              </w:tblPrEx>
                              <w:trPr>
                                <w:trHeight w:val="282"/>
                              </w:trPr>
                              <w:tc>
                                <w:tcPr>
                                  <w:tcW w:w="925" w:type="dxa"/>
                                </w:tcPr>
                                <w:p>
                                  <w:pPr>
                                    <w:pStyle w:val="TableParagraph"/>
                                    <w:spacing w:before="37"/>
                                    <w:ind w:left="11" w:right="3"/>
                                    <w:jc w:val="center"/>
                                    <w:rPr>
                                      <w:sz w:val="18"/>
                                    </w:rPr>
                                  </w:pPr>
                                  <w:r>
                                    <w:rPr>
                                      <w:spacing w:val="-5"/>
                                      <w:sz w:val="16"/>
                                    </w:rPr>
                                    <w:t>30</w:t>
                                  </w:r>
                                </w:p>
                              </w:tc>
                              <w:tc>
                                <w:tcPr>
                                  <w:tcW w:w="1420" w:type="dxa"/>
                                </w:tcPr>
                                <w:p>
                                  <w:pPr>
                                    <w:pStyle w:val="TableParagraph"/>
                                    <w:spacing w:before="37"/>
                                    <w:ind w:left="8"/>
                                    <w:jc w:val="center"/>
                                    <w:rPr>
                                      <w:sz w:val="18"/>
                                    </w:rPr>
                                  </w:pPr>
                                  <w:r>
                                    <w:rPr>
                                      <w:spacing w:val="-2"/>
                                      <w:sz w:val="16"/>
                                    </w:rPr>
                                    <w:t>0,10–900,00</w:t>
                                  </w:r>
                                </w:p>
                              </w:tc>
                              <w:tc>
                                <w:tcPr>
                                  <w:tcW w:w="1419" w:type="dxa"/>
                                  <w:vMerge/>
                                  <w:tcBorders>
                                    <w:top w:val="nil"/>
                                  </w:tcBorders>
                                </w:tcPr>
                                <w:p>
                                  <w:pPr>
                                    <w:rPr>
                                      <w:sz w:val="2"/>
                                      <w:szCs w:val="2"/>
                                    </w:rPr>
                                  </w:pPr>
                                </w:p>
                              </w:tc>
                              <w:tc>
                                <w:tcPr>
                                  <w:tcW w:w="1639" w:type="dxa"/>
                                </w:tcPr>
                                <w:p>
                                  <w:pPr>
                                    <w:pStyle w:val="TableParagraph"/>
                                    <w:spacing w:before="37"/>
                                    <w:ind w:left="8"/>
                                    <w:jc w:val="center"/>
                                    <w:rPr>
                                      <w:sz w:val="18"/>
                                    </w:rPr>
                                  </w:pPr>
                                  <w:r>
                                    <w:rPr>
                                      <w:sz w:val="16"/>
                                    </w:rPr>
                                    <w:t>0,</w:t>
                                  </w:r>
                                  <w:r>
                                    <w:rPr>
                                      <w:spacing w:val="-2"/>
                                      <w:sz w:val="16"/>
                                    </w:rPr>
                                    <w:t>00–36,00</w:t>
                                  </w:r>
                                </w:p>
                              </w:tc>
                            </w:tr>
                            <w:tr>
                              <w:tblPrEx>
                                <w:tblW w:w="0" w:type="auto"/>
                                <w:tblInd w:w="65" w:type="dxa"/>
                                <w:tblLayout w:type="fixed"/>
                                <w:tblLook w:val="01E0"/>
                              </w:tblPrEx>
                              <w:trPr>
                                <w:trHeight w:val="306"/>
                              </w:trPr>
                              <w:tc>
                                <w:tcPr>
                                  <w:tcW w:w="925" w:type="dxa"/>
                                </w:tcPr>
                                <w:p>
                                  <w:pPr>
                                    <w:pStyle w:val="TableParagraph"/>
                                    <w:spacing w:before="38"/>
                                    <w:ind w:left="11" w:right="3"/>
                                    <w:jc w:val="center"/>
                                    <w:rPr>
                                      <w:sz w:val="18"/>
                                    </w:rPr>
                                  </w:pPr>
                                  <w:r>
                                    <w:rPr>
                                      <w:spacing w:val="-2"/>
                                      <w:sz w:val="16"/>
                                    </w:rPr>
                                    <w:t>50/60</w:t>
                                  </w:r>
                                </w:p>
                              </w:tc>
                              <w:tc>
                                <w:tcPr>
                                  <w:tcW w:w="1420" w:type="dxa"/>
                                </w:tcPr>
                                <w:p>
                                  <w:pPr>
                                    <w:pStyle w:val="TableParagraph"/>
                                    <w:spacing w:before="38"/>
                                    <w:ind w:left="8"/>
                                    <w:jc w:val="center"/>
                                    <w:rPr>
                                      <w:sz w:val="18"/>
                                    </w:rPr>
                                  </w:pPr>
                                  <w:r>
                                    <w:rPr>
                                      <w:spacing w:val="-2"/>
                                      <w:sz w:val="16"/>
                                    </w:rPr>
                                    <w:t>0,10–1800,0</w:t>
                                  </w:r>
                                </w:p>
                              </w:tc>
                              <w:tc>
                                <w:tcPr>
                                  <w:tcW w:w="1419" w:type="dxa"/>
                                  <w:vMerge/>
                                  <w:tcBorders>
                                    <w:top w:val="nil"/>
                                  </w:tcBorders>
                                </w:tcPr>
                                <w:p>
                                  <w:pPr>
                                    <w:rPr>
                                      <w:sz w:val="2"/>
                                      <w:szCs w:val="2"/>
                                    </w:rPr>
                                  </w:pPr>
                                </w:p>
                              </w:tc>
                              <w:tc>
                                <w:tcPr>
                                  <w:tcW w:w="1639" w:type="dxa"/>
                                </w:tcPr>
                                <w:p>
                                  <w:pPr>
                                    <w:pStyle w:val="TableParagraph"/>
                                    <w:spacing w:before="38"/>
                                    <w:ind w:left="8"/>
                                    <w:jc w:val="center"/>
                                    <w:rPr>
                                      <w:sz w:val="18"/>
                                    </w:rPr>
                                  </w:pPr>
                                  <w:r>
                                    <w:rPr>
                                      <w:sz w:val="16"/>
                                    </w:rPr>
                                    <w:t>0,</w:t>
                                  </w:r>
                                  <w:r>
                                    <w:rPr>
                                      <w:spacing w:val="-2"/>
                                      <w:sz w:val="16"/>
                                    </w:rPr>
                                    <w:t>00–60,00</w:t>
                                  </w:r>
                                </w:p>
                              </w:tc>
                            </w:tr>
                          </w:tbl>
                          <w:p>
                            <w:pPr>
                              <w:pStyle w:val="BodyText"/>
                              <w:spacing w:before="0"/>
                              <w:ind w:left="0"/>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1025" type="#_x0000_t202" style="width:276.65pt;height:130.05pt;margin-top:42.25pt;margin-left:115.46pt;mso-position-horizontal-relative:page;mso-position-vertical-relative:page;position:absolute;z-index:251659264" filled="f" stroked="f">
                <v:textbox inset="0,0,0,0">
                  <w:txbxContent>
                    <w:tbl>
                      <w:tblPr>
                        <w:tblStyle w:val="TableNormal"/>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5"/>
                        <w:gridCol w:w="1420"/>
                        <w:gridCol w:w="1419"/>
                        <w:gridCol w:w="1639"/>
                      </w:tblGrid>
                      <w:tr>
                        <w:tblPrEx>
                          <w:tblW w:w="0" w:type="auto"/>
                          <w:tblInd w:w="65" w:type="dxa"/>
                          <w:tblLayout w:type="fixed"/>
                          <w:tblLook w:val="01E0"/>
                        </w:tblPrEx>
                        <w:trPr>
                          <w:trHeight w:val="755"/>
                        </w:trPr>
                        <w:tc>
                          <w:tcPr>
                            <w:tcW w:w="925" w:type="dxa"/>
                          </w:tcPr>
                          <w:p>
                            <w:pPr>
                              <w:pStyle w:val="TableParagraph"/>
                              <w:spacing w:before="166" w:line="254" w:lineRule="auto"/>
                              <w:ind w:left="306" w:right="168" w:hanging="125"/>
                              <w:rPr>
                                <w:sz w:val="18"/>
                              </w:rPr>
                            </w:pPr>
                            <w:r>
                              <w:rPr>
                                <w:spacing w:val="-2"/>
                                <w:sz w:val="18"/>
                              </w:rPr>
                              <w:t xml:space="preserve">Stříkačka </w:t>
                            </w:r>
                            <w:r>
                              <w:rPr>
                                <w:spacing w:val="-4"/>
                                <w:sz w:val="18"/>
                              </w:rPr>
                              <w:t>(ml)</w:t>
                            </w:r>
                          </w:p>
                        </w:tc>
                        <w:tc>
                          <w:tcPr>
                            <w:tcW w:w="1420" w:type="dxa"/>
                          </w:tcPr>
                          <w:p>
                            <w:pPr>
                              <w:pStyle w:val="TableParagraph"/>
                              <w:spacing w:before="166" w:line="254" w:lineRule="auto"/>
                              <w:ind w:left="485" w:right="302" w:hanging="173"/>
                              <w:rPr>
                                <w:sz w:val="18"/>
                              </w:rPr>
                            </w:pPr>
                            <w:r>
                              <w:rPr>
                                <w:sz w:val="18"/>
                              </w:rPr>
                              <w:t xml:space="preserve">Rychlost </w:t>
                            </w:r>
                            <w:r>
                              <w:rPr>
                                <w:sz w:val="18"/>
                              </w:rPr>
                              <w:t xml:space="preserve">bolusu </w:t>
                            </w:r>
                            <w:r>
                              <w:rPr>
                                <w:spacing w:val="-2"/>
                                <w:sz w:val="18"/>
                              </w:rPr>
                              <w:t>(ml/h)</w:t>
                            </w:r>
                          </w:p>
                        </w:tc>
                        <w:tc>
                          <w:tcPr>
                            <w:tcW w:w="1419" w:type="dxa"/>
                          </w:tcPr>
                          <w:p>
                            <w:pPr>
                              <w:pStyle w:val="TableParagraph"/>
                              <w:spacing w:before="55" w:line="254" w:lineRule="auto"/>
                              <w:ind w:left="162" w:right="151"/>
                              <w:jc w:val="center"/>
                              <w:rPr>
                                <w:sz w:val="18"/>
                              </w:rPr>
                            </w:pPr>
                            <w:r>
                              <w:rPr>
                                <w:sz w:val="18"/>
                              </w:rPr>
                              <w:t xml:space="preserve">Minimální </w:t>
                            </w:r>
                            <w:r>
                              <w:rPr>
                                <w:spacing w:val="-2"/>
                                <w:sz w:val="18"/>
                              </w:rPr>
                              <w:t>přírůstek</w:t>
                            </w:r>
                            <w:r>
                              <w:rPr>
                                <w:sz w:val="18"/>
                              </w:rPr>
                              <w:t xml:space="preserve"> rychlosti </w:t>
                            </w:r>
                            <w:r>
                              <w:rPr>
                                <w:spacing w:val="-2"/>
                                <w:sz w:val="18"/>
                              </w:rPr>
                              <w:t>(ml/h)</w:t>
                            </w:r>
                          </w:p>
                        </w:tc>
                        <w:tc>
                          <w:tcPr>
                            <w:tcW w:w="1639" w:type="dxa"/>
                          </w:tcPr>
                          <w:p>
                            <w:pPr>
                              <w:pStyle w:val="TableParagraph"/>
                              <w:spacing w:before="55" w:line="254" w:lineRule="auto"/>
                              <w:ind w:left="147" w:right="137" w:hanging="3"/>
                              <w:jc w:val="center"/>
                              <w:rPr>
                                <w:sz w:val="18"/>
                              </w:rPr>
                            </w:pPr>
                            <w:r>
                              <w:rPr>
                                <w:sz w:val="18"/>
                              </w:rPr>
                              <w:t xml:space="preserve">Rozsah </w:t>
                            </w:r>
                            <w:r>
                              <w:rPr>
                                <w:sz w:val="18"/>
                              </w:rPr>
                              <w:t xml:space="preserve">nastavení přednastaveného objemu </w:t>
                            </w:r>
                            <w:r>
                              <w:rPr>
                                <w:spacing w:val="-4"/>
                                <w:sz w:val="18"/>
                              </w:rPr>
                              <w:t>(ml)</w:t>
                            </w:r>
                          </w:p>
                        </w:tc>
                      </w:tr>
                      <w:tr>
                        <w:tblPrEx>
                          <w:tblW w:w="0" w:type="auto"/>
                          <w:tblInd w:w="65" w:type="dxa"/>
                          <w:tblLayout w:type="fixed"/>
                          <w:tblLook w:val="01E0"/>
                        </w:tblPrEx>
                        <w:trPr>
                          <w:trHeight w:val="282"/>
                        </w:trPr>
                        <w:tc>
                          <w:tcPr>
                            <w:tcW w:w="925" w:type="dxa"/>
                          </w:tcPr>
                          <w:p>
                            <w:pPr>
                              <w:pStyle w:val="TableParagraph"/>
                              <w:spacing w:before="38"/>
                              <w:ind w:left="11"/>
                              <w:jc w:val="center"/>
                              <w:rPr>
                                <w:sz w:val="18"/>
                              </w:rPr>
                            </w:pPr>
                            <w:r>
                              <w:rPr>
                                <w:spacing w:val="-2"/>
                                <w:sz w:val="18"/>
                              </w:rPr>
                              <w:t>2/2,5</w:t>
                            </w:r>
                          </w:p>
                        </w:tc>
                        <w:tc>
                          <w:tcPr>
                            <w:tcW w:w="1420" w:type="dxa"/>
                          </w:tcPr>
                          <w:p>
                            <w:pPr>
                              <w:pStyle w:val="TableParagraph"/>
                              <w:spacing w:before="38"/>
                              <w:ind w:left="8"/>
                              <w:jc w:val="center"/>
                              <w:rPr>
                                <w:sz w:val="18"/>
                              </w:rPr>
                            </w:pPr>
                            <w:r>
                              <w:rPr>
                                <w:spacing w:val="-2"/>
                                <w:sz w:val="18"/>
                              </w:rPr>
                              <w:t>0,10–150,00</w:t>
                            </w:r>
                          </w:p>
                        </w:tc>
                        <w:tc>
                          <w:tcPr>
                            <w:tcW w:w="1419" w:type="dxa"/>
                            <w:vMerge w:val="restart"/>
                          </w:tcPr>
                          <w:p>
                            <w:pPr>
                              <w:pStyle w:val="TableParagraph"/>
                              <w:rPr>
                                <w:b/>
                                <w:sz w:val="18"/>
                              </w:rPr>
                            </w:pPr>
                          </w:p>
                          <w:p>
                            <w:pPr>
                              <w:pStyle w:val="TableParagraph"/>
                              <w:spacing w:before="126"/>
                              <w:rPr>
                                <w:b/>
                                <w:sz w:val="18"/>
                              </w:rPr>
                            </w:pPr>
                          </w:p>
                          <w:p>
                            <w:pPr>
                              <w:pStyle w:val="TableParagraph"/>
                              <w:ind w:left="9"/>
                              <w:jc w:val="center"/>
                              <w:rPr>
                                <w:sz w:val="18"/>
                              </w:rPr>
                            </w:pPr>
                            <w:r>
                              <w:rPr>
                                <w:spacing w:val="-4"/>
                                <w:sz w:val="18"/>
                              </w:rPr>
                              <w:t>0</w:t>
                            </w:r>
                          </w:p>
                        </w:tc>
                        <w:tc>
                          <w:tcPr>
                            <w:tcW w:w="1639" w:type="dxa"/>
                          </w:tcPr>
                          <w:p>
                            <w:pPr>
                              <w:pStyle w:val="TableParagraph"/>
                              <w:spacing w:before="38"/>
                              <w:ind w:left="8"/>
                              <w:jc w:val="center"/>
                              <w:rPr>
                                <w:sz w:val="18"/>
                              </w:rPr>
                            </w:pPr>
                            <w:r>
                              <w:rPr>
                                <w:sz w:val="18"/>
                              </w:rPr>
                              <w:t>0,</w:t>
                            </w:r>
                            <w:r>
                              <w:rPr>
                                <w:spacing w:val="-4"/>
                                <w:sz w:val="18"/>
                              </w:rPr>
                              <w:t>00–3,00</w:t>
                            </w:r>
                          </w:p>
                        </w:tc>
                      </w:tr>
                      <w:tr>
                        <w:tblPrEx>
                          <w:tblW w:w="0" w:type="auto"/>
                          <w:tblInd w:w="65" w:type="dxa"/>
                          <w:tblLayout w:type="fixed"/>
                          <w:tblLook w:val="01E0"/>
                        </w:tblPrEx>
                        <w:trPr>
                          <w:trHeight w:val="282"/>
                        </w:trPr>
                        <w:tc>
                          <w:tcPr>
                            <w:tcW w:w="925" w:type="dxa"/>
                          </w:tcPr>
                          <w:p>
                            <w:pPr>
                              <w:pStyle w:val="TableParagraph"/>
                              <w:spacing w:before="37"/>
                              <w:ind w:left="11" w:right="3"/>
                              <w:jc w:val="center"/>
                              <w:rPr>
                                <w:sz w:val="18"/>
                              </w:rPr>
                            </w:pPr>
                            <w:r>
                              <w:rPr>
                                <w:spacing w:val="-10"/>
                                <w:sz w:val="18"/>
                              </w:rPr>
                              <w:t>5</w:t>
                            </w:r>
                          </w:p>
                        </w:tc>
                        <w:tc>
                          <w:tcPr>
                            <w:tcW w:w="1420" w:type="dxa"/>
                          </w:tcPr>
                          <w:p>
                            <w:pPr>
                              <w:pStyle w:val="TableParagraph"/>
                              <w:spacing w:before="37"/>
                              <w:ind w:left="8"/>
                              <w:jc w:val="center"/>
                              <w:rPr>
                                <w:sz w:val="18"/>
                              </w:rPr>
                            </w:pPr>
                            <w:r>
                              <w:rPr>
                                <w:spacing w:val="-2"/>
                                <w:sz w:val="18"/>
                              </w:rPr>
                              <w:t>0,10–150,00</w:t>
                            </w:r>
                          </w:p>
                        </w:tc>
                        <w:tc>
                          <w:tcPr>
                            <w:tcW w:w="1419" w:type="dxa"/>
                            <w:vMerge/>
                            <w:tcBorders>
                              <w:top w:val="nil"/>
                            </w:tcBorders>
                          </w:tcPr>
                          <w:p>
                            <w:pPr>
                              <w:rPr>
                                <w:sz w:val="2"/>
                                <w:szCs w:val="2"/>
                              </w:rPr>
                            </w:pPr>
                          </w:p>
                        </w:tc>
                        <w:tc>
                          <w:tcPr>
                            <w:tcW w:w="1639" w:type="dxa"/>
                          </w:tcPr>
                          <w:p>
                            <w:pPr>
                              <w:pStyle w:val="TableParagraph"/>
                              <w:spacing w:before="37"/>
                              <w:ind w:left="8"/>
                              <w:jc w:val="center"/>
                              <w:rPr>
                                <w:sz w:val="18"/>
                              </w:rPr>
                            </w:pPr>
                            <w:r>
                              <w:rPr>
                                <w:sz w:val="18"/>
                              </w:rPr>
                              <w:t>0,</w:t>
                            </w:r>
                            <w:r>
                              <w:rPr>
                                <w:spacing w:val="-4"/>
                                <w:sz w:val="18"/>
                              </w:rPr>
                              <w:t>00–6,00</w:t>
                            </w:r>
                          </w:p>
                        </w:tc>
                      </w:tr>
                      <w:tr>
                        <w:tblPrEx>
                          <w:tblW w:w="0" w:type="auto"/>
                          <w:tblInd w:w="65" w:type="dxa"/>
                          <w:tblLayout w:type="fixed"/>
                          <w:tblLook w:val="01E0"/>
                        </w:tblPrEx>
                        <w:trPr>
                          <w:trHeight w:val="307"/>
                        </w:trPr>
                        <w:tc>
                          <w:tcPr>
                            <w:tcW w:w="925" w:type="dxa"/>
                          </w:tcPr>
                          <w:p>
                            <w:pPr>
                              <w:pStyle w:val="TableParagraph"/>
                              <w:spacing w:before="37"/>
                              <w:ind w:left="11" w:right="3"/>
                              <w:jc w:val="center"/>
                              <w:rPr>
                                <w:sz w:val="18"/>
                              </w:rPr>
                            </w:pPr>
                            <w:r>
                              <w:rPr>
                                <w:spacing w:val="-5"/>
                                <w:sz w:val="18"/>
                              </w:rPr>
                              <w:t>10</w:t>
                            </w:r>
                          </w:p>
                        </w:tc>
                        <w:tc>
                          <w:tcPr>
                            <w:tcW w:w="1420" w:type="dxa"/>
                          </w:tcPr>
                          <w:p>
                            <w:pPr>
                              <w:pStyle w:val="TableParagraph"/>
                              <w:spacing w:before="37"/>
                              <w:ind w:left="8"/>
                              <w:jc w:val="center"/>
                              <w:rPr>
                                <w:sz w:val="18"/>
                              </w:rPr>
                            </w:pPr>
                            <w:r>
                              <w:rPr>
                                <w:spacing w:val="-2"/>
                                <w:sz w:val="18"/>
                              </w:rPr>
                              <w:t>0,10–300,00</w:t>
                            </w:r>
                          </w:p>
                        </w:tc>
                        <w:tc>
                          <w:tcPr>
                            <w:tcW w:w="1419" w:type="dxa"/>
                            <w:vMerge/>
                            <w:tcBorders>
                              <w:top w:val="nil"/>
                            </w:tcBorders>
                          </w:tcPr>
                          <w:p>
                            <w:pPr>
                              <w:rPr>
                                <w:sz w:val="2"/>
                                <w:szCs w:val="2"/>
                              </w:rPr>
                            </w:pPr>
                          </w:p>
                        </w:tc>
                        <w:tc>
                          <w:tcPr>
                            <w:tcW w:w="1639" w:type="dxa"/>
                          </w:tcPr>
                          <w:p>
                            <w:pPr>
                              <w:pStyle w:val="TableParagraph"/>
                              <w:spacing w:before="37"/>
                              <w:ind w:left="8"/>
                              <w:jc w:val="center"/>
                              <w:rPr>
                                <w:sz w:val="18"/>
                              </w:rPr>
                            </w:pPr>
                            <w:r>
                              <w:rPr>
                                <w:sz w:val="18"/>
                              </w:rPr>
                              <w:t>0,</w:t>
                            </w:r>
                            <w:r>
                              <w:rPr>
                                <w:spacing w:val="-2"/>
                                <w:sz w:val="18"/>
                              </w:rPr>
                              <w:t>00–12,00</w:t>
                            </w:r>
                          </w:p>
                        </w:tc>
                      </w:tr>
                      <w:tr>
                        <w:tblPrEx>
                          <w:tblW w:w="0" w:type="auto"/>
                          <w:tblInd w:w="65" w:type="dxa"/>
                          <w:tblLayout w:type="fixed"/>
                          <w:tblLook w:val="01E0"/>
                        </w:tblPrEx>
                        <w:trPr>
                          <w:trHeight w:val="307"/>
                        </w:trPr>
                        <w:tc>
                          <w:tcPr>
                            <w:tcW w:w="925" w:type="dxa"/>
                          </w:tcPr>
                          <w:p>
                            <w:pPr>
                              <w:pStyle w:val="TableParagraph"/>
                              <w:spacing w:before="39"/>
                              <w:ind w:left="11" w:right="3"/>
                              <w:jc w:val="center"/>
                              <w:rPr>
                                <w:sz w:val="18"/>
                              </w:rPr>
                            </w:pPr>
                            <w:r>
                              <w:rPr>
                                <w:spacing w:val="-5"/>
                                <w:sz w:val="18"/>
                              </w:rPr>
                              <w:t>20</w:t>
                            </w:r>
                          </w:p>
                        </w:tc>
                        <w:tc>
                          <w:tcPr>
                            <w:tcW w:w="1420" w:type="dxa"/>
                          </w:tcPr>
                          <w:p>
                            <w:pPr>
                              <w:pStyle w:val="TableParagraph"/>
                              <w:spacing w:before="39"/>
                              <w:ind w:left="8"/>
                              <w:jc w:val="center"/>
                              <w:rPr>
                                <w:sz w:val="18"/>
                              </w:rPr>
                            </w:pPr>
                            <w:r>
                              <w:rPr>
                                <w:spacing w:val="-2"/>
                                <w:sz w:val="18"/>
                              </w:rPr>
                              <w:t>0,10–600,00</w:t>
                            </w:r>
                          </w:p>
                        </w:tc>
                        <w:tc>
                          <w:tcPr>
                            <w:tcW w:w="1419" w:type="dxa"/>
                            <w:vMerge/>
                            <w:tcBorders>
                              <w:top w:val="nil"/>
                            </w:tcBorders>
                          </w:tcPr>
                          <w:p>
                            <w:pPr>
                              <w:rPr>
                                <w:sz w:val="2"/>
                                <w:szCs w:val="2"/>
                              </w:rPr>
                            </w:pPr>
                          </w:p>
                        </w:tc>
                        <w:tc>
                          <w:tcPr>
                            <w:tcW w:w="1639" w:type="dxa"/>
                          </w:tcPr>
                          <w:p>
                            <w:pPr>
                              <w:pStyle w:val="TableParagraph"/>
                              <w:spacing w:before="39"/>
                              <w:ind w:left="8"/>
                              <w:jc w:val="center"/>
                              <w:rPr>
                                <w:sz w:val="18"/>
                              </w:rPr>
                            </w:pPr>
                            <w:r>
                              <w:rPr>
                                <w:sz w:val="18"/>
                              </w:rPr>
                              <w:t>0,</w:t>
                            </w:r>
                            <w:r>
                              <w:rPr>
                                <w:spacing w:val="-2"/>
                                <w:sz w:val="18"/>
                              </w:rPr>
                              <w:t>00–24,00</w:t>
                            </w:r>
                          </w:p>
                        </w:tc>
                      </w:tr>
                      <w:tr>
                        <w:tblPrEx>
                          <w:tblW w:w="0" w:type="auto"/>
                          <w:tblInd w:w="65" w:type="dxa"/>
                          <w:tblLayout w:type="fixed"/>
                          <w:tblLook w:val="01E0"/>
                        </w:tblPrEx>
                        <w:trPr>
                          <w:trHeight w:val="282"/>
                        </w:trPr>
                        <w:tc>
                          <w:tcPr>
                            <w:tcW w:w="925" w:type="dxa"/>
                          </w:tcPr>
                          <w:p>
                            <w:pPr>
                              <w:pStyle w:val="TableParagraph"/>
                              <w:spacing w:before="37"/>
                              <w:ind w:left="11" w:right="3"/>
                              <w:jc w:val="center"/>
                              <w:rPr>
                                <w:sz w:val="18"/>
                              </w:rPr>
                            </w:pPr>
                            <w:r>
                              <w:rPr>
                                <w:spacing w:val="-5"/>
                                <w:sz w:val="18"/>
                              </w:rPr>
                              <w:t>30</w:t>
                            </w:r>
                          </w:p>
                        </w:tc>
                        <w:tc>
                          <w:tcPr>
                            <w:tcW w:w="1420" w:type="dxa"/>
                          </w:tcPr>
                          <w:p>
                            <w:pPr>
                              <w:pStyle w:val="TableParagraph"/>
                              <w:spacing w:before="37"/>
                              <w:ind w:left="8"/>
                              <w:jc w:val="center"/>
                              <w:rPr>
                                <w:sz w:val="18"/>
                              </w:rPr>
                            </w:pPr>
                            <w:r>
                              <w:rPr>
                                <w:spacing w:val="-2"/>
                                <w:sz w:val="18"/>
                              </w:rPr>
                              <w:t>0,10–900,00</w:t>
                            </w:r>
                          </w:p>
                        </w:tc>
                        <w:tc>
                          <w:tcPr>
                            <w:tcW w:w="1419" w:type="dxa"/>
                            <w:vMerge/>
                            <w:tcBorders>
                              <w:top w:val="nil"/>
                            </w:tcBorders>
                          </w:tcPr>
                          <w:p>
                            <w:pPr>
                              <w:rPr>
                                <w:sz w:val="2"/>
                                <w:szCs w:val="2"/>
                              </w:rPr>
                            </w:pPr>
                          </w:p>
                        </w:tc>
                        <w:tc>
                          <w:tcPr>
                            <w:tcW w:w="1639" w:type="dxa"/>
                          </w:tcPr>
                          <w:p>
                            <w:pPr>
                              <w:pStyle w:val="TableParagraph"/>
                              <w:spacing w:before="37"/>
                              <w:ind w:left="8"/>
                              <w:jc w:val="center"/>
                              <w:rPr>
                                <w:sz w:val="18"/>
                              </w:rPr>
                            </w:pPr>
                            <w:r>
                              <w:rPr>
                                <w:sz w:val="18"/>
                              </w:rPr>
                              <w:t>0,</w:t>
                            </w:r>
                            <w:r>
                              <w:rPr>
                                <w:spacing w:val="-2"/>
                                <w:sz w:val="18"/>
                              </w:rPr>
                              <w:t>00–36,00</w:t>
                            </w:r>
                          </w:p>
                        </w:tc>
                      </w:tr>
                      <w:tr>
                        <w:tblPrEx>
                          <w:tblW w:w="0" w:type="auto"/>
                          <w:tblInd w:w="65" w:type="dxa"/>
                          <w:tblLayout w:type="fixed"/>
                          <w:tblLook w:val="01E0"/>
                        </w:tblPrEx>
                        <w:trPr>
                          <w:trHeight w:val="306"/>
                        </w:trPr>
                        <w:tc>
                          <w:tcPr>
                            <w:tcW w:w="925" w:type="dxa"/>
                          </w:tcPr>
                          <w:p>
                            <w:pPr>
                              <w:pStyle w:val="TableParagraph"/>
                              <w:spacing w:before="38"/>
                              <w:ind w:left="11" w:right="3"/>
                              <w:jc w:val="center"/>
                              <w:rPr>
                                <w:sz w:val="18"/>
                              </w:rPr>
                            </w:pPr>
                            <w:r>
                              <w:rPr>
                                <w:spacing w:val="-2"/>
                                <w:sz w:val="18"/>
                              </w:rPr>
                              <w:t>50/60</w:t>
                            </w:r>
                          </w:p>
                        </w:tc>
                        <w:tc>
                          <w:tcPr>
                            <w:tcW w:w="1420" w:type="dxa"/>
                          </w:tcPr>
                          <w:p>
                            <w:pPr>
                              <w:pStyle w:val="TableParagraph"/>
                              <w:spacing w:before="38"/>
                              <w:ind w:left="8"/>
                              <w:jc w:val="center"/>
                              <w:rPr>
                                <w:sz w:val="18"/>
                              </w:rPr>
                            </w:pPr>
                            <w:r>
                              <w:rPr>
                                <w:spacing w:val="-2"/>
                                <w:sz w:val="18"/>
                              </w:rPr>
                              <w:t>0,10–1800,0</w:t>
                            </w:r>
                          </w:p>
                        </w:tc>
                        <w:tc>
                          <w:tcPr>
                            <w:tcW w:w="1419" w:type="dxa"/>
                            <w:vMerge/>
                            <w:tcBorders>
                              <w:top w:val="nil"/>
                            </w:tcBorders>
                          </w:tcPr>
                          <w:p>
                            <w:pPr>
                              <w:rPr>
                                <w:sz w:val="2"/>
                                <w:szCs w:val="2"/>
                              </w:rPr>
                            </w:pPr>
                          </w:p>
                        </w:tc>
                        <w:tc>
                          <w:tcPr>
                            <w:tcW w:w="1639" w:type="dxa"/>
                          </w:tcPr>
                          <w:p>
                            <w:pPr>
                              <w:pStyle w:val="TableParagraph"/>
                              <w:spacing w:before="38"/>
                              <w:ind w:left="8"/>
                              <w:jc w:val="center"/>
                              <w:rPr>
                                <w:sz w:val="18"/>
                              </w:rPr>
                            </w:pPr>
                            <w:r>
                              <w:rPr>
                                <w:sz w:val="18"/>
                              </w:rPr>
                              <w:t>0,</w:t>
                            </w:r>
                            <w:r>
                              <w:rPr>
                                <w:spacing w:val="-2"/>
                                <w:sz w:val="18"/>
                              </w:rPr>
                              <w:t>00–60,00</w:t>
                            </w:r>
                          </w:p>
                        </w:tc>
                      </w:tr>
                    </w:tbl>
                    <w:p>
                      <w:pPr>
                        <w:pStyle w:val="BodyText"/>
                        <w:spacing w:before="0"/>
                        <w:ind w:left="0"/>
                      </w:pPr>
                    </w:p>
                  </w:txbxContent>
                </v:textbox>
              </v:shape>
            </w:pict>
          </mc:Fallback>
        </mc:AlternateContent>
      </w:r>
      <w:r>
        <w:rPr>
          <w:sz w:val="2"/>
          <w:szCs w:val="2"/>
        </w:rPr>
        <mc:AlternateContent>
          <mc:Choice Requires="wps">
            <w:drawing>
              <wp:anchor distT="0" distB="0" distL="0" distR="0" simplePos="0" relativeHeight="251660288" behindDoc="0" locked="0" layoutInCell="1" allowOverlap="1">
                <wp:simplePos x="0" y="0"/>
                <wp:positionH relativeFrom="page">
                  <wp:posOffset>1607947</wp:posOffset>
                </wp:positionH>
                <wp:positionV relativeFrom="page">
                  <wp:posOffset>2607309</wp:posOffset>
                </wp:positionV>
                <wp:extent cx="3229610" cy="1600834"/>
                <wp:effectExtent l="0" t="0" r="0" b="0"/>
                <wp:wrapNone/>
                <wp:docPr id="5" name="Text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9610" cy="1600834"/>
                        </a:xfrm>
                        <a:prstGeom prst="rect">
                          <a:avLst/>
                        </a:prstGeom>
                      </wps:spPr>
                      <wps:txbx>
                        <w:txbxContent>
                          <w:tbl>
                            <w:tblPr>
                              <w:tblStyle w:val="TableNormal"/>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4"/>
                              <w:gridCol w:w="1612"/>
                              <w:gridCol w:w="1990"/>
                            </w:tblGrid>
                            <w:tr>
                              <w:tblPrEx>
                                <w:tblW w:w="0" w:type="auto"/>
                                <w:tblInd w:w="65" w:type="dxa"/>
                                <w:tblLayout w:type="fixed"/>
                                <w:tblLook w:val="01E0"/>
                              </w:tblPrEx>
                              <w:trPr>
                                <w:trHeight w:val="753"/>
                              </w:trPr>
                              <w:tc>
                                <w:tcPr>
                                  <w:tcW w:w="1354" w:type="dxa"/>
                                </w:tcPr>
                                <w:p>
                                  <w:pPr>
                                    <w:pStyle w:val="TableParagraph"/>
                                    <w:spacing w:before="147" w:line="292" w:lineRule="auto"/>
                                    <w:ind w:left="522" w:right="384" w:hanging="128"/>
                                    <w:rPr>
                                      <w:sz w:val="18"/>
                                    </w:rPr>
                                  </w:pPr>
                                  <w:r>
                                    <w:rPr>
                                      <w:spacing w:val="-2"/>
                                      <w:sz w:val="16"/>
                                    </w:rPr>
                                    <w:t xml:space="preserve">Stříkačka </w:t>
                                  </w:r>
                                  <w:r>
                                    <w:rPr>
                                      <w:spacing w:val="-4"/>
                                      <w:sz w:val="16"/>
                                    </w:rPr>
                                    <w:t>(ml)</w:t>
                                  </w:r>
                                </w:p>
                              </w:tc>
                              <w:tc>
                                <w:tcPr>
                                  <w:tcW w:w="1612" w:type="dxa"/>
                                </w:tcPr>
                                <w:p>
                                  <w:pPr>
                                    <w:pStyle w:val="TableParagraph"/>
                                    <w:spacing w:before="162" w:line="256" w:lineRule="auto"/>
                                    <w:ind w:left="579" w:right="333" w:hanging="233"/>
                                    <w:rPr>
                                      <w:sz w:val="18"/>
                                    </w:rPr>
                                  </w:pPr>
                                  <w:r>
                                    <w:rPr>
                                      <w:sz w:val="16"/>
                                    </w:rPr>
                                    <w:t xml:space="preserve">Výchozí </w:t>
                                  </w:r>
                                  <w:r>
                                    <w:rPr>
                                      <w:sz w:val="16"/>
                                    </w:rPr>
                                    <w:t xml:space="preserve">rychlost </w:t>
                                  </w:r>
                                  <w:r>
                                    <w:rPr>
                                      <w:spacing w:val="-2"/>
                                      <w:sz w:val="16"/>
                                    </w:rPr>
                                    <w:t>(ml/h)</w:t>
                                  </w:r>
                                </w:p>
                              </w:tc>
                              <w:tc>
                                <w:tcPr>
                                  <w:tcW w:w="1990" w:type="dxa"/>
                                </w:tcPr>
                                <w:p>
                                  <w:pPr>
                                    <w:pStyle w:val="TableParagraph"/>
                                    <w:spacing w:before="37" w:line="256" w:lineRule="auto"/>
                                    <w:ind w:left="321" w:right="314" w:firstLine="2"/>
                                    <w:jc w:val="center"/>
                                    <w:rPr>
                                      <w:sz w:val="18"/>
                                    </w:rPr>
                                  </w:pPr>
                                  <w:r>
                                    <w:rPr>
                                      <w:sz w:val="16"/>
                                    </w:rPr>
                                    <w:t xml:space="preserve">Rozsah </w:t>
                                  </w:r>
                                  <w:r>
                                    <w:rPr>
                                      <w:sz w:val="16"/>
                                    </w:rPr>
                                    <w:t>nastavení přednastaveného objemu</w:t>
                                  </w:r>
                                </w:p>
                                <w:p>
                                  <w:pPr>
                                    <w:pStyle w:val="TableParagraph"/>
                                    <w:spacing w:before="30"/>
                                    <w:ind w:left="10" w:right="1"/>
                                    <w:jc w:val="center"/>
                                    <w:rPr>
                                      <w:sz w:val="18"/>
                                    </w:rPr>
                                  </w:pPr>
                                  <w:r>
                                    <w:rPr>
                                      <w:spacing w:val="-4"/>
                                      <w:sz w:val="16"/>
                                    </w:rPr>
                                    <w:t>(ml)</w:t>
                                  </w:r>
                                </w:p>
                              </w:tc>
                            </w:tr>
                            <w:tr>
                              <w:tblPrEx>
                                <w:tblW w:w="0" w:type="auto"/>
                                <w:tblInd w:w="65" w:type="dxa"/>
                                <w:tblLayout w:type="fixed"/>
                                <w:tblLook w:val="01E0"/>
                              </w:tblPrEx>
                              <w:trPr>
                                <w:trHeight w:val="282"/>
                              </w:trPr>
                              <w:tc>
                                <w:tcPr>
                                  <w:tcW w:w="1354" w:type="dxa"/>
                                </w:tcPr>
                                <w:p>
                                  <w:pPr>
                                    <w:pStyle w:val="TableParagraph"/>
                                    <w:spacing w:before="37"/>
                                    <w:ind w:left="12" w:right="3"/>
                                    <w:jc w:val="center"/>
                                    <w:rPr>
                                      <w:sz w:val="18"/>
                                    </w:rPr>
                                  </w:pPr>
                                  <w:r>
                                    <w:rPr>
                                      <w:spacing w:val="-2"/>
                                      <w:sz w:val="16"/>
                                    </w:rPr>
                                    <w:t>2/2,5</w:t>
                                  </w:r>
                                </w:p>
                              </w:tc>
                              <w:tc>
                                <w:tcPr>
                                  <w:tcW w:w="1612" w:type="dxa"/>
                                </w:tcPr>
                                <w:p>
                                  <w:pPr>
                                    <w:pStyle w:val="TableParagraph"/>
                                    <w:spacing w:before="37"/>
                                    <w:ind w:left="10"/>
                                    <w:jc w:val="center"/>
                                    <w:rPr>
                                      <w:sz w:val="18"/>
                                    </w:rPr>
                                  </w:pPr>
                                  <w:r>
                                    <w:rPr>
                                      <w:spacing w:val="-2"/>
                                      <w:sz w:val="16"/>
                                    </w:rPr>
                                    <w:t>15</w:t>
                                  </w:r>
                                </w:p>
                              </w:tc>
                              <w:tc>
                                <w:tcPr>
                                  <w:tcW w:w="1990" w:type="dxa"/>
                                </w:tcPr>
                                <w:p>
                                  <w:pPr>
                                    <w:pStyle w:val="TableParagraph"/>
                                    <w:spacing w:before="37"/>
                                    <w:ind w:left="10"/>
                                    <w:jc w:val="center"/>
                                    <w:rPr>
                                      <w:sz w:val="18"/>
                                    </w:rPr>
                                  </w:pPr>
                                  <w:r>
                                    <w:rPr>
                                      <w:spacing w:val="-2"/>
                                      <w:sz w:val="16"/>
                                    </w:rPr>
                                    <w:t>0,</w:t>
                                  </w:r>
                                  <w:r>
                                    <w:rPr>
                                      <w:spacing w:val="-4"/>
                                      <w:sz w:val="16"/>
                                    </w:rPr>
                                    <w:t>00</w:t>
                                  </w:r>
                                </w:p>
                              </w:tc>
                            </w:tr>
                            <w:tr>
                              <w:tblPrEx>
                                <w:tblW w:w="0" w:type="auto"/>
                                <w:tblInd w:w="65" w:type="dxa"/>
                                <w:tblLayout w:type="fixed"/>
                                <w:tblLook w:val="01E0"/>
                              </w:tblPrEx>
                              <w:trPr>
                                <w:trHeight w:val="281"/>
                              </w:trPr>
                              <w:tc>
                                <w:tcPr>
                                  <w:tcW w:w="1354" w:type="dxa"/>
                                </w:tcPr>
                                <w:p>
                                  <w:pPr>
                                    <w:pStyle w:val="TableParagraph"/>
                                    <w:spacing w:before="38"/>
                                    <w:ind w:left="12" w:right="5"/>
                                    <w:jc w:val="center"/>
                                    <w:rPr>
                                      <w:sz w:val="18"/>
                                    </w:rPr>
                                  </w:pPr>
                                  <w:r>
                                    <w:rPr>
                                      <w:spacing w:val="-10"/>
                                      <w:sz w:val="16"/>
                                    </w:rPr>
                                    <w:t>5</w:t>
                                  </w:r>
                                </w:p>
                              </w:tc>
                              <w:tc>
                                <w:tcPr>
                                  <w:tcW w:w="1612" w:type="dxa"/>
                                </w:tcPr>
                                <w:p>
                                  <w:pPr>
                                    <w:pStyle w:val="TableParagraph"/>
                                    <w:spacing w:before="38"/>
                                    <w:ind w:left="10"/>
                                    <w:jc w:val="center"/>
                                    <w:rPr>
                                      <w:sz w:val="18"/>
                                    </w:rPr>
                                  </w:pPr>
                                  <w:r>
                                    <w:rPr>
                                      <w:spacing w:val="-2"/>
                                      <w:sz w:val="16"/>
                                    </w:rPr>
                                    <w:t>150,00</w:t>
                                  </w:r>
                                </w:p>
                              </w:tc>
                              <w:tc>
                                <w:tcPr>
                                  <w:tcW w:w="1990" w:type="dxa"/>
                                </w:tcPr>
                                <w:p>
                                  <w:pPr>
                                    <w:pStyle w:val="TableParagraph"/>
                                    <w:spacing w:before="38"/>
                                    <w:ind w:left="10"/>
                                    <w:jc w:val="center"/>
                                    <w:rPr>
                                      <w:sz w:val="18"/>
                                    </w:rPr>
                                  </w:pPr>
                                  <w:r>
                                    <w:rPr>
                                      <w:spacing w:val="-2"/>
                                      <w:sz w:val="16"/>
                                    </w:rPr>
                                    <w:t>0,</w:t>
                                  </w:r>
                                  <w:r>
                                    <w:rPr>
                                      <w:spacing w:val="-4"/>
                                      <w:sz w:val="16"/>
                                    </w:rPr>
                                    <w:t>00–6,00</w:t>
                                  </w:r>
                                </w:p>
                              </w:tc>
                            </w:tr>
                            <w:tr>
                              <w:tblPrEx>
                                <w:tblW w:w="0" w:type="auto"/>
                                <w:tblInd w:w="65" w:type="dxa"/>
                                <w:tblLayout w:type="fixed"/>
                                <w:tblLook w:val="01E0"/>
                              </w:tblPrEx>
                              <w:trPr>
                                <w:trHeight w:val="282"/>
                              </w:trPr>
                              <w:tc>
                                <w:tcPr>
                                  <w:tcW w:w="1354" w:type="dxa"/>
                                </w:tcPr>
                                <w:p>
                                  <w:pPr>
                                    <w:pStyle w:val="TableParagraph"/>
                                    <w:spacing w:before="39"/>
                                    <w:ind w:left="12"/>
                                    <w:jc w:val="center"/>
                                    <w:rPr>
                                      <w:sz w:val="18"/>
                                    </w:rPr>
                                  </w:pPr>
                                  <w:r>
                                    <w:rPr>
                                      <w:spacing w:val="-5"/>
                                      <w:sz w:val="16"/>
                                    </w:rPr>
                                    <w:t>10</w:t>
                                  </w:r>
                                </w:p>
                              </w:tc>
                              <w:tc>
                                <w:tcPr>
                                  <w:tcW w:w="1612" w:type="dxa"/>
                                </w:tcPr>
                                <w:p>
                                  <w:pPr>
                                    <w:pStyle w:val="TableParagraph"/>
                                    <w:spacing w:before="39"/>
                                    <w:ind w:left="10"/>
                                    <w:jc w:val="center"/>
                                    <w:rPr>
                                      <w:sz w:val="18"/>
                                    </w:rPr>
                                  </w:pPr>
                                  <w:r>
                                    <w:rPr>
                                      <w:spacing w:val="-2"/>
                                      <w:sz w:val="16"/>
                                    </w:rPr>
                                    <w:t>300</w:t>
                                  </w:r>
                                </w:p>
                              </w:tc>
                              <w:tc>
                                <w:tcPr>
                                  <w:tcW w:w="1990" w:type="dxa"/>
                                </w:tcPr>
                                <w:p>
                                  <w:pPr>
                                    <w:pStyle w:val="TableParagraph"/>
                                    <w:spacing w:before="39"/>
                                    <w:ind w:left="10"/>
                                    <w:jc w:val="center"/>
                                    <w:rPr>
                                      <w:sz w:val="18"/>
                                    </w:rPr>
                                  </w:pPr>
                                  <w:r>
                                    <w:rPr>
                                      <w:sz w:val="16"/>
                                    </w:rPr>
                                    <w:t>0,</w:t>
                                  </w:r>
                                  <w:r>
                                    <w:rPr>
                                      <w:spacing w:val="-2"/>
                                      <w:sz w:val="16"/>
                                    </w:rPr>
                                    <w:t>00–12,00</w:t>
                                  </w:r>
                                </w:p>
                              </w:tc>
                            </w:tr>
                            <w:tr>
                              <w:tblPrEx>
                                <w:tblW w:w="0" w:type="auto"/>
                                <w:tblInd w:w="65" w:type="dxa"/>
                                <w:tblLayout w:type="fixed"/>
                                <w:tblLook w:val="01E0"/>
                              </w:tblPrEx>
                              <w:trPr>
                                <w:trHeight w:val="281"/>
                              </w:trPr>
                              <w:tc>
                                <w:tcPr>
                                  <w:tcW w:w="1354" w:type="dxa"/>
                                </w:tcPr>
                                <w:p>
                                  <w:pPr>
                                    <w:pStyle w:val="TableParagraph"/>
                                    <w:spacing w:before="37"/>
                                    <w:ind w:left="12"/>
                                    <w:jc w:val="center"/>
                                    <w:rPr>
                                      <w:sz w:val="18"/>
                                    </w:rPr>
                                  </w:pPr>
                                  <w:r>
                                    <w:rPr>
                                      <w:spacing w:val="-5"/>
                                      <w:sz w:val="16"/>
                                    </w:rPr>
                                    <w:t>20</w:t>
                                  </w:r>
                                </w:p>
                              </w:tc>
                              <w:tc>
                                <w:tcPr>
                                  <w:tcW w:w="1612" w:type="dxa"/>
                                </w:tcPr>
                                <w:p>
                                  <w:pPr>
                                    <w:pStyle w:val="TableParagraph"/>
                                    <w:spacing w:before="37"/>
                                    <w:ind w:left="10"/>
                                    <w:jc w:val="center"/>
                                    <w:rPr>
                                      <w:sz w:val="18"/>
                                    </w:rPr>
                                  </w:pPr>
                                  <w:r>
                                    <w:rPr>
                                      <w:spacing w:val="-2"/>
                                      <w:sz w:val="16"/>
                                    </w:rPr>
                                    <w:t>600</w:t>
                                  </w:r>
                                </w:p>
                              </w:tc>
                              <w:tc>
                                <w:tcPr>
                                  <w:tcW w:w="1990" w:type="dxa"/>
                                </w:tcPr>
                                <w:p>
                                  <w:pPr>
                                    <w:pStyle w:val="TableParagraph"/>
                                    <w:spacing w:before="37"/>
                                    <w:ind w:left="10"/>
                                    <w:jc w:val="center"/>
                                    <w:rPr>
                                      <w:sz w:val="18"/>
                                    </w:rPr>
                                  </w:pPr>
                                  <w:r>
                                    <w:rPr>
                                      <w:sz w:val="16"/>
                                    </w:rPr>
                                    <w:t>0,</w:t>
                                  </w:r>
                                  <w:r>
                                    <w:rPr>
                                      <w:spacing w:val="-2"/>
                                      <w:sz w:val="16"/>
                                    </w:rPr>
                                    <w:t>00–24,00</w:t>
                                  </w:r>
                                </w:p>
                              </w:tc>
                            </w:tr>
                            <w:tr>
                              <w:tblPrEx>
                                <w:tblW w:w="0" w:type="auto"/>
                                <w:tblInd w:w="65" w:type="dxa"/>
                                <w:tblLayout w:type="fixed"/>
                                <w:tblLook w:val="01E0"/>
                              </w:tblPrEx>
                              <w:trPr>
                                <w:trHeight w:val="282"/>
                              </w:trPr>
                              <w:tc>
                                <w:tcPr>
                                  <w:tcW w:w="1354" w:type="dxa"/>
                                </w:tcPr>
                                <w:p>
                                  <w:pPr>
                                    <w:pStyle w:val="TableParagraph"/>
                                    <w:spacing w:before="38"/>
                                    <w:ind w:left="12"/>
                                    <w:jc w:val="center"/>
                                    <w:rPr>
                                      <w:sz w:val="18"/>
                                    </w:rPr>
                                  </w:pPr>
                                  <w:r>
                                    <w:rPr>
                                      <w:spacing w:val="-5"/>
                                      <w:sz w:val="16"/>
                                    </w:rPr>
                                    <w:t>30</w:t>
                                  </w:r>
                                </w:p>
                              </w:tc>
                              <w:tc>
                                <w:tcPr>
                                  <w:tcW w:w="1612" w:type="dxa"/>
                                </w:tcPr>
                                <w:p>
                                  <w:pPr>
                                    <w:pStyle w:val="TableParagraph"/>
                                    <w:spacing w:before="38"/>
                                    <w:ind w:left="10"/>
                                    <w:jc w:val="center"/>
                                    <w:rPr>
                                      <w:sz w:val="18"/>
                                    </w:rPr>
                                  </w:pPr>
                                  <w:r>
                                    <w:rPr>
                                      <w:spacing w:val="-2"/>
                                      <w:sz w:val="16"/>
                                    </w:rPr>
                                    <w:t>900</w:t>
                                  </w:r>
                                </w:p>
                              </w:tc>
                              <w:tc>
                                <w:tcPr>
                                  <w:tcW w:w="1990" w:type="dxa"/>
                                </w:tcPr>
                                <w:p>
                                  <w:pPr>
                                    <w:pStyle w:val="TableParagraph"/>
                                    <w:spacing w:before="38"/>
                                    <w:ind w:left="10"/>
                                    <w:jc w:val="center"/>
                                    <w:rPr>
                                      <w:sz w:val="18"/>
                                    </w:rPr>
                                  </w:pPr>
                                  <w:r>
                                    <w:rPr>
                                      <w:sz w:val="16"/>
                                    </w:rPr>
                                    <w:t>0,</w:t>
                                  </w:r>
                                  <w:r>
                                    <w:rPr>
                                      <w:spacing w:val="-2"/>
                                      <w:sz w:val="16"/>
                                    </w:rPr>
                                    <w:t>00–36,00</w:t>
                                  </w:r>
                                </w:p>
                              </w:tc>
                            </w:tr>
                            <w:tr>
                              <w:tblPrEx>
                                <w:tblW w:w="0" w:type="auto"/>
                                <w:tblInd w:w="65" w:type="dxa"/>
                                <w:tblLayout w:type="fixed"/>
                                <w:tblLook w:val="01E0"/>
                              </w:tblPrEx>
                              <w:trPr>
                                <w:trHeight w:val="280"/>
                              </w:trPr>
                              <w:tc>
                                <w:tcPr>
                                  <w:tcW w:w="1354" w:type="dxa"/>
                                </w:tcPr>
                                <w:p>
                                  <w:pPr>
                                    <w:pStyle w:val="TableParagraph"/>
                                    <w:spacing w:before="39"/>
                                    <w:ind w:left="12"/>
                                    <w:jc w:val="center"/>
                                    <w:rPr>
                                      <w:sz w:val="18"/>
                                    </w:rPr>
                                  </w:pPr>
                                  <w:r>
                                    <w:rPr>
                                      <w:spacing w:val="-2"/>
                                      <w:sz w:val="16"/>
                                    </w:rPr>
                                    <w:t>50/60</w:t>
                                  </w:r>
                                </w:p>
                              </w:tc>
                              <w:tc>
                                <w:tcPr>
                                  <w:tcW w:w="1612" w:type="dxa"/>
                                </w:tcPr>
                                <w:p>
                                  <w:pPr>
                                    <w:pStyle w:val="TableParagraph"/>
                                    <w:spacing w:before="39"/>
                                    <w:ind w:left="10"/>
                                    <w:jc w:val="center"/>
                                    <w:rPr>
                                      <w:sz w:val="18"/>
                                    </w:rPr>
                                  </w:pPr>
                                  <w:r>
                                    <w:rPr>
                                      <w:spacing w:val="-2"/>
                                      <w:sz w:val="16"/>
                                    </w:rPr>
                                    <w:t>1800</w:t>
                                  </w:r>
                                </w:p>
                              </w:tc>
                              <w:tc>
                                <w:tcPr>
                                  <w:tcW w:w="1990" w:type="dxa"/>
                                </w:tcPr>
                                <w:p>
                                  <w:pPr>
                                    <w:pStyle w:val="TableParagraph"/>
                                    <w:spacing w:before="39"/>
                                    <w:ind w:left="10"/>
                                    <w:jc w:val="center"/>
                                    <w:rPr>
                                      <w:sz w:val="18"/>
                                    </w:rPr>
                                  </w:pPr>
                                  <w:r>
                                    <w:rPr>
                                      <w:sz w:val="16"/>
                                    </w:rPr>
                                    <w:t>0,</w:t>
                                  </w:r>
                                  <w:r>
                                    <w:rPr>
                                      <w:spacing w:val="-2"/>
                                      <w:sz w:val="16"/>
                                    </w:rPr>
                                    <w:t>00</w:t>
                                  </w:r>
                                </w:p>
                              </w:tc>
                            </w:tr>
                          </w:tbl>
                          <w:p>
                            <w:pPr>
                              <w:pStyle w:val="BodyText"/>
                              <w:spacing w:before="0"/>
                              <w:ind w:left="0"/>
                            </w:pPr>
                          </w:p>
                        </w:txbxContent>
                      </wps:txbx>
                      <wps:bodyPr wrap="square" lIns="0" tIns="0" rIns="0" bIns="0" rtlCol="0"/>
                    </wps:wsp>
                  </a:graphicData>
                </a:graphic>
              </wp:anchor>
            </w:drawing>
          </mc:Choice>
          <mc:Fallback>
            <w:pict>
              <v:shape id="_x0000_s1026" type="#_x0000_t202" style="width:254.3pt;height:126.05pt;margin-top:205.3pt;margin-left:126.61pt;mso-position-horizontal-relative:page;mso-position-vertical-relative:page;position:absolute;z-index:251661312" filled="f" stroked="f">
                <v:textbox inset="0,0,0,0">
                  <w:txbxContent>
                    <w:tbl>
                      <w:tblPr>
                        <w:tblStyle w:val="TableNormal"/>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4"/>
                        <w:gridCol w:w="1612"/>
                        <w:gridCol w:w="1990"/>
                      </w:tblGrid>
                      <w:tr>
                        <w:tblPrEx>
                          <w:tblW w:w="0" w:type="auto"/>
                          <w:tblInd w:w="65" w:type="dxa"/>
                          <w:tblLayout w:type="fixed"/>
                          <w:tblLook w:val="01E0"/>
                        </w:tblPrEx>
                        <w:trPr>
                          <w:trHeight w:val="753"/>
                        </w:trPr>
                        <w:tc>
                          <w:tcPr>
                            <w:tcW w:w="1354" w:type="dxa"/>
                          </w:tcPr>
                          <w:p>
                            <w:pPr>
                              <w:pStyle w:val="TableParagraph"/>
                              <w:spacing w:before="147" w:line="292" w:lineRule="auto"/>
                              <w:ind w:left="522" w:right="384" w:hanging="128"/>
                              <w:rPr>
                                <w:sz w:val="18"/>
                              </w:rPr>
                            </w:pPr>
                            <w:r>
                              <w:rPr>
                                <w:spacing w:val="-2"/>
                                <w:sz w:val="18"/>
                              </w:rPr>
                              <w:t xml:space="preserve">Stříkačka </w:t>
                            </w:r>
                            <w:r>
                              <w:rPr>
                                <w:spacing w:val="-4"/>
                                <w:sz w:val="18"/>
                              </w:rPr>
                              <w:t>(ml)</w:t>
                            </w:r>
                          </w:p>
                        </w:tc>
                        <w:tc>
                          <w:tcPr>
                            <w:tcW w:w="1612" w:type="dxa"/>
                          </w:tcPr>
                          <w:p>
                            <w:pPr>
                              <w:pStyle w:val="TableParagraph"/>
                              <w:spacing w:before="162" w:line="256" w:lineRule="auto"/>
                              <w:ind w:left="579" w:right="333" w:hanging="233"/>
                              <w:rPr>
                                <w:sz w:val="18"/>
                              </w:rPr>
                            </w:pPr>
                            <w:r>
                              <w:rPr>
                                <w:sz w:val="18"/>
                              </w:rPr>
                              <w:t xml:space="preserve">Výchozí </w:t>
                            </w:r>
                            <w:r>
                              <w:rPr>
                                <w:sz w:val="18"/>
                              </w:rPr>
                              <w:t xml:space="preserve">rychlost </w:t>
                            </w:r>
                            <w:r>
                              <w:rPr>
                                <w:spacing w:val="-2"/>
                                <w:sz w:val="18"/>
                              </w:rPr>
                              <w:t>(ml/h)</w:t>
                            </w:r>
                          </w:p>
                        </w:tc>
                        <w:tc>
                          <w:tcPr>
                            <w:tcW w:w="1990" w:type="dxa"/>
                          </w:tcPr>
                          <w:p>
                            <w:pPr>
                              <w:pStyle w:val="TableParagraph"/>
                              <w:spacing w:before="37" w:line="256" w:lineRule="auto"/>
                              <w:ind w:left="321" w:right="314" w:firstLine="2"/>
                              <w:jc w:val="center"/>
                              <w:rPr>
                                <w:sz w:val="18"/>
                              </w:rPr>
                            </w:pPr>
                            <w:r>
                              <w:rPr>
                                <w:sz w:val="18"/>
                              </w:rPr>
                              <w:t xml:space="preserve">Rozsah </w:t>
                            </w:r>
                            <w:r>
                              <w:rPr>
                                <w:sz w:val="18"/>
                              </w:rPr>
                              <w:t>nastavení přednastaveného objemu</w:t>
                            </w:r>
                          </w:p>
                          <w:p>
                            <w:pPr>
                              <w:pStyle w:val="TableParagraph"/>
                              <w:spacing w:before="30"/>
                              <w:ind w:left="10" w:right="1"/>
                              <w:jc w:val="center"/>
                              <w:rPr>
                                <w:sz w:val="18"/>
                              </w:rPr>
                            </w:pPr>
                            <w:r>
                              <w:rPr>
                                <w:spacing w:val="-4"/>
                                <w:sz w:val="18"/>
                              </w:rPr>
                              <w:t>(ml)</w:t>
                            </w:r>
                          </w:p>
                        </w:tc>
                      </w:tr>
                      <w:tr>
                        <w:tblPrEx>
                          <w:tblW w:w="0" w:type="auto"/>
                          <w:tblInd w:w="65" w:type="dxa"/>
                          <w:tblLayout w:type="fixed"/>
                          <w:tblLook w:val="01E0"/>
                        </w:tblPrEx>
                        <w:trPr>
                          <w:trHeight w:val="282"/>
                        </w:trPr>
                        <w:tc>
                          <w:tcPr>
                            <w:tcW w:w="1354" w:type="dxa"/>
                          </w:tcPr>
                          <w:p>
                            <w:pPr>
                              <w:pStyle w:val="TableParagraph"/>
                              <w:spacing w:before="37"/>
                              <w:ind w:left="12" w:right="3"/>
                              <w:jc w:val="center"/>
                              <w:rPr>
                                <w:sz w:val="18"/>
                              </w:rPr>
                            </w:pPr>
                            <w:r>
                              <w:rPr>
                                <w:spacing w:val="-2"/>
                                <w:sz w:val="18"/>
                              </w:rPr>
                              <w:t>2/2,5</w:t>
                            </w:r>
                          </w:p>
                        </w:tc>
                        <w:tc>
                          <w:tcPr>
                            <w:tcW w:w="1612" w:type="dxa"/>
                          </w:tcPr>
                          <w:p>
                            <w:pPr>
                              <w:pStyle w:val="TableParagraph"/>
                              <w:spacing w:before="37"/>
                              <w:ind w:left="10"/>
                              <w:jc w:val="center"/>
                              <w:rPr>
                                <w:sz w:val="18"/>
                              </w:rPr>
                            </w:pPr>
                            <w:r>
                              <w:rPr>
                                <w:spacing w:val="-2"/>
                                <w:sz w:val="18"/>
                              </w:rPr>
                              <w:t>15</w:t>
                            </w:r>
                          </w:p>
                        </w:tc>
                        <w:tc>
                          <w:tcPr>
                            <w:tcW w:w="1990" w:type="dxa"/>
                          </w:tcPr>
                          <w:p>
                            <w:pPr>
                              <w:pStyle w:val="TableParagraph"/>
                              <w:spacing w:before="37"/>
                              <w:ind w:left="10"/>
                              <w:jc w:val="center"/>
                              <w:rPr>
                                <w:sz w:val="18"/>
                              </w:rPr>
                            </w:pPr>
                            <w:r>
                              <w:rPr>
                                <w:spacing w:val="-2"/>
                                <w:sz w:val="18"/>
                              </w:rPr>
                              <w:t>0,</w:t>
                            </w:r>
                            <w:r>
                              <w:rPr>
                                <w:spacing w:val="-4"/>
                                <w:sz w:val="18"/>
                              </w:rPr>
                              <w:t>00</w:t>
                            </w:r>
                          </w:p>
                        </w:tc>
                      </w:tr>
                      <w:tr>
                        <w:tblPrEx>
                          <w:tblW w:w="0" w:type="auto"/>
                          <w:tblInd w:w="65" w:type="dxa"/>
                          <w:tblLayout w:type="fixed"/>
                          <w:tblLook w:val="01E0"/>
                        </w:tblPrEx>
                        <w:trPr>
                          <w:trHeight w:val="281"/>
                        </w:trPr>
                        <w:tc>
                          <w:tcPr>
                            <w:tcW w:w="1354" w:type="dxa"/>
                          </w:tcPr>
                          <w:p>
                            <w:pPr>
                              <w:pStyle w:val="TableParagraph"/>
                              <w:spacing w:before="38"/>
                              <w:ind w:left="12" w:right="5"/>
                              <w:jc w:val="center"/>
                              <w:rPr>
                                <w:sz w:val="18"/>
                              </w:rPr>
                            </w:pPr>
                            <w:r>
                              <w:rPr>
                                <w:spacing w:val="-10"/>
                                <w:sz w:val="18"/>
                              </w:rPr>
                              <w:t>5</w:t>
                            </w:r>
                          </w:p>
                        </w:tc>
                        <w:tc>
                          <w:tcPr>
                            <w:tcW w:w="1612" w:type="dxa"/>
                          </w:tcPr>
                          <w:p>
                            <w:pPr>
                              <w:pStyle w:val="TableParagraph"/>
                              <w:spacing w:before="38"/>
                              <w:ind w:left="10"/>
                              <w:jc w:val="center"/>
                              <w:rPr>
                                <w:sz w:val="18"/>
                              </w:rPr>
                            </w:pPr>
                            <w:r>
                              <w:rPr>
                                <w:spacing w:val="-2"/>
                                <w:sz w:val="18"/>
                              </w:rPr>
                              <w:t>150,00</w:t>
                            </w:r>
                          </w:p>
                        </w:tc>
                        <w:tc>
                          <w:tcPr>
                            <w:tcW w:w="1990" w:type="dxa"/>
                          </w:tcPr>
                          <w:p>
                            <w:pPr>
                              <w:pStyle w:val="TableParagraph"/>
                              <w:spacing w:before="38"/>
                              <w:ind w:left="10"/>
                              <w:jc w:val="center"/>
                              <w:rPr>
                                <w:sz w:val="18"/>
                              </w:rPr>
                            </w:pPr>
                            <w:r>
                              <w:rPr>
                                <w:spacing w:val="-2"/>
                                <w:sz w:val="18"/>
                              </w:rPr>
                              <w:t>0,</w:t>
                            </w:r>
                            <w:r>
                              <w:rPr>
                                <w:spacing w:val="-4"/>
                                <w:sz w:val="18"/>
                              </w:rPr>
                              <w:t>00–6,00</w:t>
                            </w:r>
                          </w:p>
                        </w:tc>
                      </w:tr>
                      <w:tr>
                        <w:tblPrEx>
                          <w:tblW w:w="0" w:type="auto"/>
                          <w:tblInd w:w="65" w:type="dxa"/>
                          <w:tblLayout w:type="fixed"/>
                          <w:tblLook w:val="01E0"/>
                        </w:tblPrEx>
                        <w:trPr>
                          <w:trHeight w:val="282"/>
                        </w:trPr>
                        <w:tc>
                          <w:tcPr>
                            <w:tcW w:w="1354" w:type="dxa"/>
                          </w:tcPr>
                          <w:p>
                            <w:pPr>
                              <w:pStyle w:val="TableParagraph"/>
                              <w:spacing w:before="39"/>
                              <w:ind w:left="12"/>
                              <w:jc w:val="center"/>
                              <w:rPr>
                                <w:sz w:val="18"/>
                              </w:rPr>
                            </w:pPr>
                            <w:r>
                              <w:rPr>
                                <w:spacing w:val="-5"/>
                                <w:sz w:val="18"/>
                              </w:rPr>
                              <w:t>10</w:t>
                            </w:r>
                          </w:p>
                        </w:tc>
                        <w:tc>
                          <w:tcPr>
                            <w:tcW w:w="1612" w:type="dxa"/>
                          </w:tcPr>
                          <w:p>
                            <w:pPr>
                              <w:pStyle w:val="TableParagraph"/>
                              <w:spacing w:before="39"/>
                              <w:ind w:left="10"/>
                              <w:jc w:val="center"/>
                              <w:rPr>
                                <w:sz w:val="18"/>
                              </w:rPr>
                            </w:pPr>
                            <w:r>
                              <w:rPr>
                                <w:spacing w:val="-2"/>
                                <w:sz w:val="18"/>
                              </w:rPr>
                              <w:t>300</w:t>
                            </w:r>
                          </w:p>
                        </w:tc>
                        <w:tc>
                          <w:tcPr>
                            <w:tcW w:w="1990" w:type="dxa"/>
                          </w:tcPr>
                          <w:p>
                            <w:pPr>
                              <w:pStyle w:val="TableParagraph"/>
                              <w:spacing w:before="39"/>
                              <w:ind w:left="10"/>
                              <w:jc w:val="center"/>
                              <w:rPr>
                                <w:sz w:val="18"/>
                              </w:rPr>
                            </w:pPr>
                            <w:r>
                              <w:rPr>
                                <w:sz w:val="18"/>
                              </w:rPr>
                              <w:t>0,</w:t>
                            </w:r>
                            <w:r>
                              <w:rPr>
                                <w:spacing w:val="-2"/>
                                <w:sz w:val="18"/>
                              </w:rPr>
                              <w:t>00–12,00</w:t>
                            </w:r>
                          </w:p>
                        </w:tc>
                      </w:tr>
                      <w:tr>
                        <w:tblPrEx>
                          <w:tblW w:w="0" w:type="auto"/>
                          <w:tblInd w:w="65" w:type="dxa"/>
                          <w:tblLayout w:type="fixed"/>
                          <w:tblLook w:val="01E0"/>
                        </w:tblPrEx>
                        <w:trPr>
                          <w:trHeight w:val="281"/>
                        </w:trPr>
                        <w:tc>
                          <w:tcPr>
                            <w:tcW w:w="1354" w:type="dxa"/>
                          </w:tcPr>
                          <w:p>
                            <w:pPr>
                              <w:pStyle w:val="TableParagraph"/>
                              <w:spacing w:before="37"/>
                              <w:ind w:left="12"/>
                              <w:jc w:val="center"/>
                              <w:rPr>
                                <w:sz w:val="18"/>
                              </w:rPr>
                            </w:pPr>
                            <w:r>
                              <w:rPr>
                                <w:spacing w:val="-5"/>
                                <w:sz w:val="18"/>
                              </w:rPr>
                              <w:t>20</w:t>
                            </w:r>
                          </w:p>
                        </w:tc>
                        <w:tc>
                          <w:tcPr>
                            <w:tcW w:w="1612" w:type="dxa"/>
                          </w:tcPr>
                          <w:p>
                            <w:pPr>
                              <w:pStyle w:val="TableParagraph"/>
                              <w:spacing w:before="37"/>
                              <w:ind w:left="10"/>
                              <w:jc w:val="center"/>
                              <w:rPr>
                                <w:sz w:val="18"/>
                              </w:rPr>
                            </w:pPr>
                            <w:r>
                              <w:rPr>
                                <w:spacing w:val="-2"/>
                                <w:sz w:val="18"/>
                              </w:rPr>
                              <w:t>600,00</w:t>
                            </w:r>
                          </w:p>
                        </w:tc>
                        <w:tc>
                          <w:tcPr>
                            <w:tcW w:w="1990" w:type="dxa"/>
                          </w:tcPr>
                          <w:p>
                            <w:pPr>
                              <w:pStyle w:val="TableParagraph"/>
                              <w:spacing w:before="37"/>
                              <w:ind w:left="10"/>
                              <w:jc w:val="center"/>
                              <w:rPr>
                                <w:sz w:val="18"/>
                              </w:rPr>
                            </w:pPr>
                            <w:r>
                              <w:rPr>
                                <w:sz w:val="18"/>
                              </w:rPr>
                              <w:t>0,</w:t>
                            </w:r>
                            <w:r>
                              <w:rPr>
                                <w:spacing w:val="-2"/>
                                <w:sz w:val="18"/>
                              </w:rPr>
                              <w:t>00–24,00</w:t>
                            </w:r>
                          </w:p>
                        </w:tc>
                      </w:tr>
                      <w:tr>
                        <w:tblPrEx>
                          <w:tblW w:w="0" w:type="auto"/>
                          <w:tblInd w:w="65" w:type="dxa"/>
                          <w:tblLayout w:type="fixed"/>
                          <w:tblLook w:val="01E0"/>
                        </w:tblPrEx>
                        <w:trPr>
                          <w:trHeight w:val="282"/>
                        </w:trPr>
                        <w:tc>
                          <w:tcPr>
                            <w:tcW w:w="1354" w:type="dxa"/>
                          </w:tcPr>
                          <w:p>
                            <w:pPr>
                              <w:pStyle w:val="TableParagraph"/>
                              <w:spacing w:before="38"/>
                              <w:ind w:left="12"/>
                              <w:jc w:val="center"/>
                              <w:rPr>
                                <w:sz w:val="18"/>
                              </w:rPr>
                            </w:pPr>
                            <w:r>
                              <w:rPr>
                                <w:spacing w:val="-5"/>
                                <w:sz w:val="18"/>
                              </w:rPr>
                              <w:t>30</w:t>
                            </w:r>
                          </w:p>
                        </w:tc>
                        <w:tc>
                          <w:tcPr>
                            <w:tcW w:w="1612" w:type="dxa"/>
                          </w:tcPr>
                          <w:p>
                            <w:pPr>
                              <w:pStyle w:val="TableParagraph"/>
                              <w:spacing w:before="38"/>
                              <w:ind w:left="10"/>
                              <w:jc w:val="center"/>
                              <w:rPr>
                                <w:sz w:val="18"/>
                              </w:rPr>
                            </w:pPr>
                            <w:r>
                              <w:rPr>
                                <w:spacing w:val="-2"/>
                                <w:sz w:val="18"/>
                              </w:rPr>
                              <w:t>900</w:t>
                            </w:r>
                          </w:p>
                        </w:tc>
                        <w:tc>
                          <w:tcPr>
                            <w:tcW w:w="1990" w:type="dxa"/>
                          </w:tcPr>
                          <w:p>
                            <w:pPr>
                              <w:pStyle w:val="TableParagraph"/>
                              <w:spacing w:before="38"/>
                              <w:ind w:left="10"/>
                              <w:jc w:val="center"/>
                              <w:rPr>
                                <w:sz w:val="18"/>
                              </w:rPr>
                            </w:pPr>
                            <w:r>
                              <w:rPr>
                                <w:sz w:val="18"/>
                              </w:rPr>
                              <w:t>0,</w:t>
                            </w:r>
                            <w:r>
                              <w:rPr>
                                <w:spacing w:val="-2"/>
                                <w:sz w:val="18"/>
                              </w:rPr>
                              <w:t>00–36,00</w:t>
                            </w:r>
                          </w:p>
                        </w:tc>
                      </w:tr>
                      <w:tr>
                        <w:tblPrEx>
                          <w:tblW w:w="0" w:type="auto"/>
                          <w:tblInd w:w="65" w:type="dxa"/>
                          <w:tblLayout w:type="fixed"/>
                          <w:tblLook w:val="01E0"/>
                        </w:tblPrEx>
                        <w:trPr>
                          <w:trHeight w:val="280"/>
                        </w:trPr>
                        <w:tc>
                          <w:tcPr>
                            <w:tcW w:w="1354" w:type="dxa"/>
                          </w:tcPr>
                          <w:p>
                            <w:pPr>
                              <w:pStyle w:val="TableParagraph"/>
                              <w:spacing w:before="39"/>
                              <w:ind w:left="12"/>
                              <w:jc w:val="center"/>
                              <w:rPr>
                                <w:sz w:val="18"/>
                              </w:rPr>
                            </w:pPr>
                            <w:r>
                              <w:rPr>
                                <w:spacing w:val="-2"/>
                                <w:sz w:val="18"/>
                              </w:rPr>
                              <w:t>50/60</w:t>
                            </w:r>
                          </w:p>
                        </w:tc>
                        <w:tc>
                          <w:tcPr>
                            <w:tcW w:w="1612" w:type="dxa"/>
                          </w:tcPr>
                          <w:p>
                            <w:pPr>
                              <w:pStyle w:val="TableParagraph"/>
                              <w:spacing w:before="39"/>
                              <w:ind w:left="10"/>
                              <w:jc w:val="center"/>
                              <w:rPr>
                                <w:sz w:val="18"/>
                              </w:rPr>
                            </w:pPr>
                            <w:r>
                              <w:rPr>
                                <w:spacing w:val="-2"/>
                                <w:sz w:val="18"/>
                              </w:rPr>
                              <w:t>1800</w:t>
                            </w:r>
                          </w:p>
                        </w:tc>
                        <w:tc>
                          <w:tcPr>
                            <w:tcW w:w="1990" w:type="dxa"/>
                          </w:tcPr>
                          <w:p>
                            <w:pPr>
                              <w:pStyle w:val="TableParagraph"/>
                              <w:spacing w:before="39"/>
                              <w:ind w:left="10"/>
                              <w:jc w:val="center"/>
                              <w:rPr>
                                <w:sz w:val="18"/>
                              </w:rPr>
                            </w:pPr>
                            <w:r>
                              <w:rPr>
                                <w:sz w:val="18"/>
                              </w:rPr>
                              <w:t>0,</w:t>
                            </w:r>
                            <w:r>
                              <w:rPr>
                                <w:spacing w:val="-2"/>
                                <w:sz w:val="18"/>
                              </w:rPr>
                              <w:t>00–60,00</w:t>
                            </w:r>
                          </w:p>
                        </w:tc>
                      </w:tr>
                    </w:tbl>
                    <w:p>
                      <w:pPr>
                        <w:pStyle w:val="BodyText"/>
                        <w:spacing w:before="0"/>
                        <w:ind w:left="0"/>
                      </w:pPr>
                    </w:p>
                  </w:txbxContent>
                </v:textbox>
              </v:shape>
            </w:pict>
          </mc:Fallback>
        </mc:AlternateContent>
      </w:r>
    </w:p>
    <w:p>
      <w:pPr>
        <w:spacing w:after="0"/>
        <w:rPr>
          <w:sz w:val="2"/>
          <w:szCs w:val="2"/>
        </w:rPr>
        <w:sectPr>
          <w:type w:val="continuous"/>
          <w:pgSz w:w="8390" w:h="11910"/>
          <w:pgMar w:top="700" w:right="425" w:bottom="540" w:left="425" w:header="0" w:footer="342"/>
          <w:cols w:space="708"/>
        </w:sectPr>
      </w:pPr>
    </w:p>
    <w:tbl>
      <w:tblPr>
        <w:tblStyle w:val="TableNormal"/>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1"/>
        <w:gridCol w:w="5533"/>
      </w:tblGrid>
      <w:tr>
        <w:tblPrEx>
          <w:tblW w:w="0" w:type="auto"/>
          <w:tblInd w:w="128" w:type="dxa"/>
          <w:tblLayout w:type="fixed"/>
          <w:tblLook w:val="01E0"/>
        </w:tblPrEx>
        <w:trPr>
          <w:trHeight w:val="1286"/>
        </w:trPr>
        <w:tc>
          <w:tcPr>
            <w:tcW w:w="1761" w:type="dxa"/>
          </w:tcPr>
          <w:p>
            <w:pPr>
              <w:pStyle w:val="TableParagraph"/>
              <w:rPr>
                <w:b/>
                <w:sz w:val="18"/>
              </w:rPr>
            </w:pPr>
          </w:p>
          <w:p>
            <w:pPr>
              <w:pStyle w:val="TableParagraph"/>
              <w:spacing w:before="126"/>
              <w:rPr>
                <w:b/>
                <w:sz w:val="18"/>
              </w:rPr>
            </w:pPr>
          </w:p>
          <w:p>
            <w:pPr>
              <w:pStyle w:val="TableParagraph"/>
              <w:ind w:left="85"/>
              <w:rPr>
                <w:sz w:val="18"/>
              </w:rPr>
            </w:pPr>
            <w:r>
              <w:rPr>
                <w:sz w:val="16"/>
              </w:rPr>
              <w:t xml:space="preserve">Vnitřní </w:t>
            </w:r>
            <w:r>
              <w:rPr>
                <w:spacing w:val="-2"/>
                <w:sz w:val="16"/>
              </w:rPr>
              <w:t>baterie</w:t>
            </w:r>
          </w:p>
        </w:tc>
        <w:tc>
          <w:tcPr>
            <w:tcW w:w="5533" w:type="dxa"/>
          </w:tcPr>
          <w:p>
            <w:pPr>
              <w:pStyle w:val="TableParagraph"/>
              <w:spacing w:before="70" w:line="256" w:lineRule="auto"/>
              <w:ind w:left="83" w:right="73"/>
              <w:jc w:val="both"/>
              <w:rPr>
                <w:sz w:val="18"/>
              </w:rPr>
            </w:pPr>
            <w:r>
              <w:rPr>
                <w:sz w:val="16"/>
              </w:rPr>
              <w:t>DC7,2 V (dobíjecí lithium-polymerová baterie, 2550 mAh nebo</w:t>
            </w:r>
            <w:r>
              <w:rPr>
                <w:spacing w:val="-2"/>
                <w:sz w:val="16"/>
              </w:rPr>
              <w:t xml:space="preserve"> 2550 mAh × 2).</w:t>
            </w:r>
          </w:p>
          <w:p>
            <w:pPr>
              <w:pStyle w:val="TableParagraph"/>
              <w:spacing w:before="59" w:line="254" w:lineRule="auto"/>
              <w:ind w:left="83" w:right="75"/>
              <w:jc w:val="both"/>
              <w:rPr>
                <w:sz w:val="18"/>
              </w:rPr>
            </w:pPr>
            <w:r>
              <w:rPr>
                <w:sz w:val="16"/>
              </w:rPr>
              <w:t>Při použití pouze interního napájení a zahájení injekce rychlostí 5 ml/h přesahuje doba provozu 16 hodin se dvěma bateriemi a více než 8 hodin s jednou volitelnou baterií.</w:t>
            </w:r>
          </w:p>
        </w:tc>
      </w:tr>
      <w:tr>
        <w:tblPrEx>
          <w:tblW w:w="0" w:type="auto"/>
          <w:tblInd w:w="128" w:type="dxa"/>
          <w:tblLayout w:type="fixed"/>
          <w:tblLook w:val="01E0"/>
        </w:tblPrEx>
        <w:trPr>
          <w:trHeight w:val="343"/>
        </w:trPr>
        <w:tc>
          <w:tcPr>
            <w:tcW w:w="1761" w:type="dxa"/>
          </w:tcPr>
          <w:p>
            <w:pPr>
              <w:pStyle w:val="TableParagraph"/>
              <w:spacing w:before="70"/>
              <w:ind w:left="85"/>
              <w:rPr>
                <w:sz w:val="18"/>
              </w:rPr>
            </w:pPr>
            <w:r>
              <w:rPr>
                <w:sz w:val="16"/>
              </w:rPr>
              <w:t xml:space="preserve">Napájecí </w:t>
            </w:r>
            <w:r>
              <w:rPr>
                <w:spacing w:val="-2"/>
                <w:sz w:val="16"/>
              </w:rPr>
              <w:t xml:space="preserve">zdroj </w:t>
            </w:r>
            <w:r>
              <w:rPr>
                <w:sz w:val="16"/>
              </w:rPr>
              <w:t>DC</w:t>
            </w:r>
          </w:p>
        </w:tc>
        <w:tc>
          <w:tcPr>
            <w:tcW w:w="5533" w:type="dxa"/>
          </w:tcPr>
          <w:p>
            <w:pPr>
              <w:pStyle w:val="TableParagraph"/>
              <w:spacing w:before="70"/>
              <w:ind w:left="83"/>
              <w:rPr>
                <w:sz w:val="18"/>
              </w:rPr>
            </w:pPr>
            <w:r>
              <w:rPr>
                <w:sz w:val="16"/>
              </w:rPr>
              <w:t>DC12V</w:t>
            </w:r>
            <w:r>
              <w:rPr>
                <w:sz w:val="16"/>
              </w:rPr>
              <w:t xml:space="preserve"> 1,5A, </w:t>
            </w:r>
            <w:r>
              <w:rPr>
                <w:sz w:val="16"/>
              </w:rPr>
              <w:t xml:space="preserve">s </w:t>
            </w:r>
            <w:r>
              <w:rPr>
                <w:sz w:val="16"/>
              </w:rPr>
              <w:t xml:space="preserve">přípustnou </w:t>
            </w:r>
            <w:r>
              <w:rPr>
                <w:sz w:val="16"/>
              </w:rPr>
              <w:t xml:space="preserve">odchylkou </w:t>
            </w:r>
            <w:r>
              <w:rPr>
                <w:spacing w:val="-4"/>
                <w:sz w:val="16"/>
              </w:rPr>
              <w:t>±10 %</w:t>
            </w:r>
          </w:p>
        </w:tc>
      </w:tr>
      <w:tr>
        <w:tblPrEx>
          <w:tblW w:w="0" w:type="auto"/>
          <w:tblInd w:w="128" w:type="dxa"/>
          <w:tblLayout w:type="fixed"/>
          <w:tblLook w:val="01E0"/>
        </w:tblPrEx>
        <w:trPr>
          <w:trHeight w:val="343"/>
        </w:trPr>
        <w:tc>
          <w:tcPr>
            <w:tcW w:w="1761" w:type="dxa"/>
          </w:tcPr>
          <w:p>
            <w:pPr>
              <w:pStyle w:val="TableParagraph"/>
              <w:spacing w:before="69"/>
              <w:ind w:left="85"/>
              <w:rPr>
                <w:sz w:val="18"/>
              </w:rPr>
            </w:pPr>
            <w:r>
              <w:rPr>
                <w:spacing w:val="-4"/>
                <w:sz w:val="16"/>
              </w:rPr>
              <w:t>Pojistka</w:t>
            </w:r>
          </w:p>
        </w:tc>
        <w:tc>
          <w:tcPr>
            <w:tcW w:w="5533" w:type="dxa"/>
          </w:tcPr>
          <w:p>
            <w:pPr>
              <w:pStyle w:val="TableParagraph"/>
              <w:spacing w:before="69"/>
              <w:ind w:left="83"/>
              <w:rPr>
                <w:sz w:val="18"/>
              </w:rPr>
            </w:pPr>
            <w:r>
              <w:rPr>
                <w:sz w:val="16"/>
              </w:rPr>
              <w:t xml:space="preserve">Pomalá </w:t>
            </w:r>
            <w:r>
              <w:rPr>
                <w:sz w:val="16"/>
              </w:rPr>
              <w:t xml:space="preserve">pojistka </w:t>
            </w:r>
            <w:r>
              <w:rPr>
                <w:sz w:val="16"/>
              </w:rPr>
              <w:t>Specifikace:</w:t>
            </w:r>
            <w:r>
              <w:rPr>
                <w:sz w:val="16"/>
              </w:rPr>
              <w:t xml:space="preserve"> 250 V</w:t>
            </w:r>
            <w:r>
              <w:rPr>
                <w:spacing w:val="-5"/>
                <w:sz w:val="16"/>
              </w:rPr>
              <w:t xml:space="preserve"> 2 A</w:t>
            </w:r>
          </w:p>
        </w:tc>
      </w:tr>
      <w:tr>
        <w:tblPrEx>
          <w:tblW w:w="0" w:type="auto"/>
          <w:tblInd w:w="128" w:type="dxa"/>
          <w:tblLayout w:type="fixed"/>
          <w:tblLook w:val="01E0"/>
        </w:tblPrEx>
        <w:trPr>
          <w:trHeight w:val="343"/>
        </w:trPr>
        <w:tc>
          <w:tcPr>
            <w:tcW w:w="1761" w:type="dxa"/>
          </w:tcPr>
          <w:p>
            <w:pPr>
              <w:pStyle w:val="TableParagraph"/>
              <w:spacing w:before="70"/>
              <w:ind w:left="85"/>
              <w:rPr>
                <w:sz w:val="18"/>
              </w:rPr>
            </w:pPr>
            <w:r>
              <w:rPr>
                <w:sz w:val="16"/>
              </w:rPr>
              <w:t xml:space="preserve">Vnější </w:t>
            </w:r>
            <w:r>
              <w:rPr>
                <w:spacing w:val="-2"/>
                <w:sz w:val="16"/>
              </w:rPr>
              <w:t>rozměry</w:t>
            </w:r>
          </w:p>
        </w:tc>
        <w:tc>
          <w:tcPr>
            <w:tcW w:w="5533" w:type="dxa"/>
          </w:tcPr>
          <w:p>
            <w:pPr>
              <w:pStyle w:val="TableParagraph"/>
              <w:spacing w:before="70"/>
              <w:ind w:left="83"/>
              <w:rPr>
                <w:sz w:val="18"/>
              </w:rPr>
            </w:pPr>
            <w:r>
              <w:rPr>
                <w:sz w:val="16"/>
              </w:rPr>
              <w:t xml:space="preserve">240 </w:t>
            </w:r>
            <w:r>
              <w:rPr>
                <w:sz w:val="16"/>
              </w:rPr>
              <w:t>×</w:t>
            </w:r>
            <w:r>
              <w:rPr>
                <w:sz w:val="16"/>
              </w:rPr>
              <w:t xml:space="preserve"> 135 </w:t>
            </w:r>
            <w:r>
              <w:rPr>
                <w:sz w:val="16"/>
              </w:rPr>
              <w:t>×</w:t>
            </w:r>
            <w:r>
              <w:rPr>
                <w:sz w:val="16"/>
              </w:rPr>
              <w:t xml:space="preserve"> 138 </w:t>
            </w:r>
            <w:r>
              <w:rPr>
                <w:sz w:val="16"/>
              </w:rPr>
              <w:t xml:space="preserve">(D × Š × V) </w:t>
            </w:r>
            <w:r>
              <w:rPr>
                <w:sz w:val="16"/>
              </w:rPr>
              <w:t xml:space="preserve">mm, </w:t>
            </w:r>
            <w:r>
              <w:rPr>
                <w:sz w:val="16"/>
              </w:rPr>
              <w:t xml:space="preserve">bez </w:t>
            </w:r>
            <w:r>
              <w:rPr>
                <w:sz w:val="16"/>
              </w:rPr>
              <w:t xml:space="preserve">upevňovací </w:t>
            </w:r>
            <w:r>
              <w:rPr>
                <w:spacing w:val="-2"/>
                <w:sz w:val="16"/>
              </w:rPr>
              <w:t>svorky.</w:t>
            </w:r>
          </w:p>
        </w:tc>
      </w:tr>
      <w:tr>
        <w:tblPrEx>
          <w:tblW w:w="0" w:type="auto"/>
          <w:tblInd w:w="128" w:type="dxa"/>
          <w:tblLayout w:type="fixed"/>
          <w:tblLook w:val="01E0"/>
        </w:tblPrEx>
        <w:trPr>
          <w:trHeight w:val="564"/>
        </w:trPr>
        <w:tc>
          <w:tcPr>
            <w:tcW w:w="1761" w:type="dxa"/>
          </w:tcPr>
          <w:p>
            <w:pPr>
              <w:pStyle w:val="TableParagraph"/>
              <w:spacing w:before="69" w:line="256" w:lineRule="auto"/>
              <w:ind w:left="85" w:right="253"/>
              <w:rPr>
                <w:sz w:val="18"/>
              </w:rPr>
            </w:pPr>
            <w:r>
              <w:rPr>
                <w:spacing w:val="-2"/>
                <w:sz w:val="16"/>
              </w:rPr>
              <w:t xml:space="preserve">Celková </w:t>
            </w:r>
            <w:r>
              <w:rPr>
                <w:spacing w:val="-2"/>
                <w:sz w:val="16"/>
              </w:rPr>
              <w:t xml:space="preserve">hmotnost </w:t>
            </w:r>
            <w:r>
              <w:rPr>
                <w:spacing w:val="-4"/>
                <w:sz w:val="16"/>
              </w:rPr>
              <w:t>jednotky</w:t>
            </w:r>
          </w:p>
        </w:tc>
        <w:tc>
          <w:tcPr>
            <w:tcW w:w="5533" w:type="dxa"/>
          </w:tcPr>
          <w:p>
            <w:pPr>
              <w:pStyle w:val="TableParagraph"/>
              <w:spacing w:before="179"/>
              <w:ind w:left="83"/>
              <w:rPr>
                <w:sz w:val="18"/>
              </w:rPr>
            </w:pPr>
            <w:r>
              <w:rPr>
                <w:spacing w:val="-2"/>
                <w:sz w:val="16"/>
              </w:rPr>
              <w:t>1,8 kg</w:t>
            </w:r>
          </w:p>
        </w:tc>
      </w:tr>
      <w:tr>
        <w:tblPrEx>
          <w:tblW w:w="0" w:type="auto"/>
          <w:tblInd w:w="128" w:type="dxa"/>
          <w:tblLayout w:type="fixed"/>
          <w:tblLook w:val="01E0"/>
        </w:tblPrEx>
        <w:trPr>
          <w:trHeight w:val="343"/>
        </w:trPr>
        <w:tc>
          <w:tcPr>
            <w:tcW w:w="1761" w:type="dxa"/>
          </w:tcPr>
          <w:p>
            <w:pPr>
              <w:pStyle w:val="TableParagraph"/>
              <w:spacing w:before="71"/>
              <w:ind w:left="85"/>
              <w:rPr>
                <w:sz w:val="18"/>
              </w:rPr>
            </w:pPr>
            <w:r>
              <w:rPr>
                <w:spacing w:val="-2"/>
                <w:sz w:val="16"/>
              </w:rPr>
              <w:t xml:space="preserve">Hlasitost </w:t>
            </w:r>
            <w:r>
              <w:rPr>
                <w:sz w:val="16"/>
              </w:rPr>
              <w:t>alarmu</w:t>
            </w:r>
          </w:p>
        </w:tc>
        <w:tc>
          <w:tcPr>
            <w:tcW w:w="5533" w:type="dxa"/>
          </w:tcPr>
          <w:p>
            <w:pPr>
              <w:pStyle w:val="TableParagraph"/>
              <w:spacing w:before="71"/>
              <w:ind w:left="83"/>
              <w:rPr>
                <w:sz w:val="18"/>
              </w:rPr>
            </w:pPr>
            <w:r>
              <w:rPr>
                <w:sz w:val="16"/>
              </w:rPr>
              <w:t xml:space="preserve">Hladina </w:t>
            </w:r>
            <w:r>
              <w:rPr>
                <w:sz w:val="16"/>
              </w:rPr>
              <w:t xml:space="preserve">akustického </w:t>
            </w:r>
            <w:r>
              <w:rPr>
                <w:sz w:val="16"/>
              </w:rPr>
              <w:t xml:space="preserve">tlaku </w:t>
            </w:r>
            <w:r>
              <w:rPr>
                <w:sz w:val="16"/>
              </w:rPr>
              <w:t xml:space="preserve">alarmového </w:t>
            </w:r>
            <w:r>
              <w:rPr>
                <w:sz w:val="16"/>
              </w:rPr>
              <w:t xml:space="preserve">signálu </w:t>
            </w:r>
            <w:r>
              <w:rPr>
                <w:sz w:val="16"/>
              </w:rPr>
              <w:t>nejméně</w:t>
            </w:r>
            <w:r>
              <w:rPr>
                <w:spacing w:val="-2"/>
                <w:sz w:val="16"/>
              </w:rPr>
              <w:t xml:space="preserve"> 45 dB(A)</w:t>
            </w:r>
          </w:p>
        </w:tc>
      </w:tr>
      <w:tr>
        <w:tblPrEx>
          <w:tblW w:w="0" w:type="auto"/>
          <w:tblInd w:w="128" w:type="dxa"/>
          <w:tblLayout w:type="fixed"/>
          <w:tblLook w:val="01E0"/>
        </w:tblPrEx>
        <w:trPr>
          <w:trHeight w:val="2290"/>
        </w:trPr>
        <w:tc>
          <w:tcPr>
            <w:tcW w:w="1761" w:type="dxa"/>
          </w:tcPr>
          <w:p>
            <w:pPr>
              <w:pStyle w:val="TableParagraph"/>
              <w:rPr>
                <w:b/>
                <w:sz w:val="18"/>
              </w:rPr>
            </w:pPr>
          </w:p>
          <w:p>
            <w:pPr>
              <w:pStyle w:val="TableParagraph"/>
              <w:rPr>
                <w:b/>
                <w:sz w:val="18"/>
              </w:rPr>
            </w:pPr>
          </w:p>
          <w:p>
            <w:pPr>
              <w:pStyle w:val="TableParagraph"/>
              <w:rPr>
                <w:b/>
                <w:sz w:val="18"/>
              </w:rPr>
            </w:pPr>
          </w:p>
          <w:p>
            <w:pPr>
              <w:pStyle w:val="TableParagraph"/>
              <w:spacing w:before="106"/>
              <w:rPr>
                <w:b/>
                <w:sz w:val="18"/>
              </w:rPr>
            </w:pPr>
          </w:p>
          <w:p>
            <w:pPr>
              <w:pStyle w:val="TableParagraph"/>
              <w:spacing w:line="254" w:lineRule="auto"/>
              <w:ind w:left="85" w:right="773"/>
              <w:rPr>
                <w:sz w:val="18"/>
              </w:rPr>
            </w:pPr>
            <w:r>
              <w:rPr>
                <w:sz w:val="16"/>
              </w:rPr>
              <w:t xml:space="preserve">Hlavní </w:t>
            </w:r>
            <w:r>
              <w:rPr>
                <w:sz w:val="16"/>
              </w:rPr>
              <w:t xml:space="preserve">bezpečnostní </w:t>
            </w:r>
            <w:r>
              <w:rPr>
                <w:spacing w:val="-2"/>
                <w:sz w:val="16"/>
              </w:rPr>
              <w:t>normy</w:t>
            </w:r>
          </w:p>
        </w:tc>
        <w:tc>
          <w:tcPr>
            <w:tcW w:w="5533" w:type="dxa"/>
          </w:tcPr>
          <w:p>
            <w:pPr>
              <w:pStyle w:val="TableParagraph"/>
              <w:spacing w:before="70" w:line="256" w:lineRule="auto"/>
              <w:ind w:left="83" w:right="64"/>
              <w:rPr>
                <w:sz w:val="18"/>
              </w:rPr>
            </w:pPr>
            <w:r>
              <w:rPr>
                <w:sz w:val="16"/>
              </w:rPr>
              <w:t>IEC</w:t>
            </w:r>
            <w:r>
              <w:rPr>
                <w:sz w:val="16"/>
              </w:rPr>
              <w:t xml:space="preserve"> 60601-1 </w:t>
            </w:r>
            <w:r>
              <w:rPr>
                <w:sz w:val="16"/>
              </w:rPr>
              <w:t xml:space="preserve">Elektrická </w:t>
            </w:r>
            <w:r>
              <w:rPr>
                <w:sz w:val="16"/>
              </w:rPr>
              <w:t xml:space="preserve">zdravotnická </w:t>
            </w:r>
            <w:r>
              <w:rPr>
                <w:sz w:val="16"/>
              </w:rPr>
              <w:t xml:space="preserve">zařízení </w:t>
            </w:r>
            <w:r>
              <w:rPr>
                <w:sz w:val="16"/>
              </w:rPr>
              <w:t xml:space="preserve">– </w:t>
            </w:r>
            <w:r>
              <w:rPr>
                <w:sz w:val="16"/>
              </w:rPr>
              <w:t>Část</w:t>
            </w:r>
            <w:r>
              <w:rPr>
                <w:sz w:val="16"/>
              </w:rPr>
              <w:t xml:space="preserve"> 1: </w:t>
            </w:r>
            <w:r>
              <w:rPr>
                <w:sz w:val="16"/>
              </w:rPr>
              <w:t xml:space="preserve">Obecné </w:t>
            </w:r>
            <w:r>
              <w:rPr>
                <w:sz w:val="16"/>
              </w:rPr>
              <w:t>požadavky na základní bezpečnost a nezbytný výkon</w:t>
            </w:r>
          </w:p>
          <w:p>
            <w:pPr>
              <w:pStyle w:val="TableParagraph"/>
              <w:spacing w:before="58" w:line="256" w:lineRule="auto"/>
              <w:ind w:left="83" w:right="95"/>
              <w:rPr>
                <w:sz w:val="18"/>
              </w:rPr>
            </w:pPr>
            <w:r>
              <w:rPr>
                <w:sz w:val="16"/>
              </w:rPr>
              <w:t>IEC</w:t>
            </w:r>
            <w:r>
              <w:rPr>
                <w:sz w:val="16"/>
              </w:rPr>
              <w:t xml:space="preserve"> 60601-1-8 </w:t>
            </w:r>
            <w:r>
              <w:rPr>
                <w:sz w:val="16"/>
              </w:rPr>
              <w:t xml:space="preserve">Elektrická </w:t>
            </w:r>
            <w:r>
              <w:rPr>
                <w:sz w:val="16"/>
              </w:rPr>
              <w:t xml:space="preserve">zdravotnická </w:t>
            </w:r>
            <w:r>
              <w:rPr>
                <w:sz w:val="16"/>
              </w:rPr>
              <w:t xml:space="preserve">zařízení </w:t>
            </w:r>
            <w:r>
              <w:rPr>
                <w:sz w:val="16"/>
              </w:rPr>
              <w:t xml:space="preserve">– </w:t>
            </w:r>
            <w:r>
              <w:rPr>
                <w:sz w:val="16"/>
              </w:rPr>
              <w:t>Část</w:t>
            </w:r>
            <w:r>
              <w:rPr>
                <w:sz w:val="16"/>
              </w:rPr>
              <w:t xml:space="preserve"> 1: </w:t>
            </w:r>
            <w:r>
              <w:rPr>
                <w:sz w:val="16"/>
              </w:rPr>
              <w:t>Obecné požadavky na základní bezpečnost a nezbytný výkon</w:t>
            </w:r>
          </w:p>
          <w:p>
            <w:pPr>
              <w:pStyle w:val="TableParagraph"/>
              <w:spacing w:before="59" w:line="256" w:lineRule="auto"/>
              <w:ind w:left="83" w:right="64"/>
              <w:rPr>
                <w:sz w:val="18"/>
              </w:rPr>
            </w:pPr>
            <w:r>
              <w:rPr>
                <w:sz w:val="16"/>
              </w:rPr>
              <w:t xml:space="preserve">IEC 60601-1-2 Elektrická zdravotnická zařízení – Část 1-2: Obecné požadavky </w:t>
            </w:r>
            <w:r>
              <w:rPr>
                <w:sz w:val="16"/>
              </w:rPr>
              <w:t xml:space="preserve">na </w:t>
            </w:r>
            <w:r>
              <w:rPr>
                <w:sz w:val="16"/>
              </w:rPr>
              <w:t xml:space="preserve">základní </w:t>
            </w:r>
            <w:r>
              <w:rPr>
                <w:sz w:val="16"/>
              </w:rPr>
              <w:t xml:space="preserve">bezpečnost </w:t>
            </w:r>
            <w:r>
              <w:rPr>
                <w:sz w:val="16"/>
              </w:rPr>
              <w:t xml:space="preserve">a </w:t>
            </w:r>
            <w:r>
              <w:rPr>
                <w:sz w:val="16"/>
              </w:rPr>
              <w:t xml:space="preserve">nezbytný </w:t>
            </w:r>
            <w:r>
              <w:rPr>
                <w:sz w:val="16"/>
              </w:rPr>
              <w:t>výkon – Doplňková norma: Elektromagnetická kompatibilita – Požadavky a zkoušky</w:t>
            </w:r>
          </w:p>
          <w:p>
            <w:pPr>
              <w:pStyle w:val="TableParagraph"/>
              <w:spacing w:before="58" w:line="256" w:lineRule="auto"/>
              <w:ind w:left="83" w:right="64"/>
              <w:rPr>
                <w:sz w:val="18"/>
              </w:rPr>
            </w:pPr>
            <w:r>
              <w:rPr>
                <w:sz w:val="16"/>
              </w:rPr>
              <w:t>IEC</w:t>
            </w:r>
            <w:r>
              <w:rPr>
                <w:sz w:val="16"/>
              </w:rPr>
              <w:t xml:space="preserve"> 60601-2-24 </w:t>
            </w:r>
            <w:r>
              <w:rPr>
                <w:sz w:val="16"/>
              </w:rPr>
              <w:t xml:space="preserve">Elektrická </w:t>
            </w:r>
            <w:r>
              <w:rPr>
                <w:sz w:val="16"/>
              </w:rPr>
              <w:t xml:space="preserve">zdravotnická </w:t>
            </w:r>
            <w:r>
              <w:rPr>
                <w:sz w:val="16"/>
              </w:rPr>
              <w:t>zařízení – Část</w:t>
            </w:r>
            <w:r>
              <w:rPr>
                <w:sz w:val="16"/>
              </w:rPr>
              <w:t xml:space="preserve"> 2-24: </w:t>
            </w:r>
            <w:r>
              <w:rPr>
                <w:sz w:val="16"/>
              </w:rPr>
              <w:t>Zvláštní požadavky na bezpečnost infuzních pump a regulátorů</w:t>
            </w:r>
          </w:p>
        </w:tc>
      </w:tr>
      <w:tr>
        <w:tblPrEx>
          <w:tblW w:w="0" w:type="auto"/>
          <w:tblInd w:w="128" w:type="dxa"/>
          <w:tblLayout w:type="fixed"/>
          <w:tblLook w:val="01E0"/>
        </w:tblPrEx>
        <w:trPr>
          <w:trHeight w:val="343"/>
        </w:trPr>
        <w:tc>
          <w:tcPr>
            <w:tcW w:w="7294" w:type="dxa"/>
            <w:gridSpan w:val="2"/>
            <w:shd w:val="clear" w:color="auto" w:fill="99CCFF"/>
          </w:tcPr>
          <w:p>
            <w:pPr>
              <w:pStyle w:val="TableParagraph"/>
              <w:spacing w:before="69"/>
              <w:ind w:left="85"/>
              <w:rPr>
                <w:sz w:val="18"/>
              </w:rPr>
            </w:pPr>
            <w:r>
              <w:rPr>
                <w:spacing w:val="-2"/>
                <w:sz w:val="16"/>
              </w:rPr>
              <w:t>Slovníček</w:t>
            </w:r>
          </w:p>
        </w:tc>
      </w:tr>
      <w:tr>
        <w:tblPrEx>
          <w:tblW w:w="0" w:type="auto"/>
          <w:tblInd w:w="128" w:type="dxa"/>
          <w:tblLayout w:type="fixed"/>
          <w:tblLook w:val="01E0"/>
        </w:tblPrEx>
        <w:trPr>
          <w:trHeight w:val="343"/>
        </w:trPr>
        <w:tc>
          <w:tcPr>
            <w:tcW w:w="1761" w:type="dxa"/>
          </w:tcPr>
          <w:p>
            <w:pPr>
              <w:pStyle w:val="TableParagraph"/>
              <w:spacing w:before="70"/>
              <w:ind w:left="85"/>
              <w:rPr>
                <w:sz w:val="18"/>
              </w:rPr>
            </w:pPr>
            <w:r>
              <w:rPr>
                <w:spacing w:val="-2"/>
                <w:sz w:val="16"/>
              </w:rPr>
              <w:t>Bolus</w:t>
            </w:r>
          </w:p>
        </w:tc>
        <w:tc>
          <w:tcPr>
            <w:tcW w:w="5533" w:type="dxa"/>
          </w:tcPr>
          <w:p>
            <w:pPr>
              <w:pStyle w:val="TableParagraph"/>
              <w:spacing w:before="70"/>
              <w:ind w:left="83"/>
              <w:rPr>
                <w:sz w:val="18"/>
              </w:rPr>
            </w:pPr>
            <w:r>
              <w:rPr>
                <w:sz w:val="16"/>
              </w:rPr>
              <w:t xml:space="preserve">Bolusová </w:t>
            </w:r>
            <w:r>
              <w:rPr>
                <w:spacing w:val="-4"/>
                <w:sz w:val="16"/>
              </w:rPr>
              <w:t>dávka</w:t>
            </w:r>
          </w:p>
        </w:tc>
      </w:tr>
      <w:tr>
        <w:tblPrEx>
          <w:tblW w:w="0" w:type="auto"/>
          <w:tblInd w:w="128" w:type="dxa"/>
          <w:tblLayout w:type="fixed"/>
          <w:tblLook w:val="01E0"/>
        </w:tblPrEx>
        <w:trPr>
          <w:trHeight w:val="563"/>
        </w:trPr>
        <w:tc>
          <w:tcPr>
            <w:tcW w:w="1761" w:type="dxa"/>
          </w:tcPr>
          <w:p>
            <w:pPr>
              <w:pStyle w:val="TableParagraph"/>
              <w:spacing w:before="179"/>
              <w:ind w:left="85"/>
              <w:rPr>
                <w:sz w:val="18"/>
              </w:rPr>
            </w:pPr>
            <w:r>
              <w:rPr>
                <w:spacing w:val="-2"/>
                <w:sz w:val="16"/>
              </w:rPr>
              <w:t xml:space="preserve">Funkce </w:t>
            </w:r>
            <w:r>
              <w:rPr>
                <w:sz w:val="16"/>
              </w:rPr>
              <w:t>AntiBolus</w:t>
            </w:r>
          </w:p>
        </w:tc>
        <w:tc>
          <w:tcPr>
            <w:tcW w:w="5533" w:type="dxa"/>
          </w:tcPr>
          <w:p>
            <w:pPr>
              <w:pStyle w:val="TableParagraph"/>
              <w:spacing w:before="69" w:line="256" w:lineRule="auto"/>
              <w:ind w:left="83" w:right="64"/>
              <w:rPr>
                <w:sz w:val="18"/>
              </w:rPr>
            </w:pPr>
            <w:r>
              <w:rPr>
                <w:sz w:val="16"/>
              </w:rPr>
              <w:t xml:space="preserve">Tato </w:t>
            </w:r>
            <w:r>
              <w:rPr>
                <w:sz w:val="16"/>
              </w:rPr>
              <w:t xml:space="preserve">funkce </w:t>
            </w:r>
            <w:r>
              <w:rPr>
                <w:sz w:val="16"/>
              </w:rPr>
              <w:t xml:space="preserve">je </w:t>
            </w:r>
            <w:r>
              <w:rPr>
                <w:sz w:val="16"/>
              </w:rPr>
              <w:t xml:space="preserve">určena ke </w:t>
            </w:r>
            <w:r>
              <w:rPr>
                <w:sz w:val="16"/>
              </w:rPr>
              <w:t xml:space="preserve">snížení </w:t>
            </w:r>
            <w:r>
              <w:rPr>
                <w:sz w:val="16"/>
              </w:rPr>
              <w:t xml:space="preserve">šokové </w:t>
            </w:r>
            <w:r>
              <w:rPr>
                <w:sz w:val="16"/>
              </w:rPr>
              <w:t xml:space="preserve">dávky podávané </w:t>
            </w:r>
            <w:r>
              <w:rPr>
                <w:sz w:val="16"/>
              </w:rPr>
              <w:t>pacientovi po odstranění okluze.</w:t>
            </w:r>
          </w:p>
        </w:tc>
      </w:tr>
      <w:tr>
        <w:tblPrEx>
          <w:tblW w:w="0" w:type="auto"/>
          <w:tblInd w:w="128" w:type="dxa"/>
          <w:tblLayout w:type="fixed"/>
          <w:tblLook w:val="01E0"/>
        </w:tblPrEx>
        <w:trPr>
          <w:trHeight w:val="563"/>
        </w:trPr>
        <w:tc>
          <w:tcPr>
            <w:tcW w:w="1761" w:type="dxa"/>
          </w:tcPr>
          <w:p>
            <w:pPr>
              <w:pStyle w:val="TableParagraph"/>
              <w:spacing w:before="179"/>
              <w:ind w:left="85"/>
              <w:rPr>
                <w:sz w:val="18"/>
              </w:rPr>
            </w:pPr>
            <w:r>
              <w:rPr>
                <w:sz w:val="16"/>
              </w:rPr>
              <w:t xml:space="preserve">Infuzní </w:t>
            </w:r>
            <w:r>
              <w:rPr>
                <w:spacing w:val="-2"/>
                <w:sz w:val="16"/>
              </w:rPr>
              <w:t>hadička</w:t>
            </w:r>
          </w:p>
        </w:tc>
        <w:tc>
          <w:tcPr>
            <w:tcW w:w="5533" w:type="dxa"/>
          </w:tcPr>
          <w:p>
            <w:pPr>
              <w:pStyle w:val="TableParagraph"/>
              <w:spacing w:before="71" w:line="254" w:lineRule="auto"/>
              <w:ind w:left="83" w:right="64"/>
              <w:rPr>
                <w:sz w:val="18"/>
              </w:rPr>
            </w:pPr>
            <w:r>
              <w:rPr>
                <w:sz w:val="16"/>
              </w:rPr>
              <w:t xml:space="preserve">Infuzní </w:t>
            </w:r>
            <w:r>
              <w:rPr>
                <w:sz w:val="16"/>
              </w:rPr>
              <w:t xml:space="preserve">okruh složený ze </w:t>
            </w:r>
            <w:r>
              <w:rPr>
                <w:sz w:val="16"/>
              </w:rPr>
              <w:t>stříkačky a prodlužovací hadičky, který je aplikační částí injekční pumpy.</w:t>
            </w:r>
          </w:p>
        </w:tc>
      </w:tr>
      <w:tr>
        <w:tblPrEx>
          <w:tblW w:w="0" w:type="auto"/>
          <w:tblInd w:w="128" w:type="dxa"/>
          <w:tblLayout w:type="fixed"/>
          <w:tblLook w:val="01E0"/>
        </w:tblPrEx>
        <w:trPr>
          <w:trHeight w:val="564"/>
        </w:trPr>
        <w:tc>
          <w:tcPr>
            <w:tcW w:w="1761" w:type="dxa"/>
          </w:tcPr>
          <w:p>
            <w:pPr>
              <w:pStyle w:val="TableParagraph"/>
              <w:spacing w:before="70" w:line="254" w:lineRule="auto"/>
              <w:ind w:left="85"/>
              <w:rPr>
                <w:sz w:val="18"/>
              </w:rPr>
            </w:pPr>
            <w:r>
              <w:rPr>
                <w:spacing w:val="-4"/>
                <w:sz w:val="16"/>
              </w:rPr>
              <w:t xml:space="preserve">Režim </w:t>
            </w:r>
            <w:r>
              <w:rPr>
                <w:sz w:val="16"/>
              </w:rPr>
              <w:t xml:space="preserve">přerušované </w:t>
            </w:r>
            <w:r>
              <w:rPr>
                <w:sz w:val="16"/>
              </w:rPr>
              <w:t>infuze</w:t>
            </w:r>
          </w:p>
        </w:tc>
        <w:tc>
          <w:tcPr>
            <w:tcW w:w="5533" w:type="dxa"/>
          </w:tcPr>
          <w:p>
            <w:pPr>
              <w:pStyle w:val="TableParagraph"/>
              <w:spacing w:before="70" w:line="254" w:lineRule="auto"/>
              <w:ind w:left="83" w:right="64"/>
              <w:rPr>
                <w:sz w:val="18"/>
              </w:rPr>
            </w:pPr>
            <w:r>
              <w:rPr>
                <w:sz w:val="16"/>
              </w:rPr>
              <w:t xml:space="preserve">Metoda řízení injekce nastavením průtoku, </w:t>
            </w:r>
            <w:r>
              <w:rPr>
                <w:sz w:val="16"/>
              </w:rPr>
              <w:t xml:space="preserve">objemu </w:t>
            </w:r>
            <w:r>
              <w:rPr>
                <w:sz w:val="16"/>
              </w:rPr>
              <w:t>jedné dávky</w:t>
            </w:r>
            <w:r>
              <w:rPr>
                <w:sz w:val="16"/>
              </w:rPr>
              <w:t>, intervalu a rychlosti KVO.</w:t>
            </w:r>
          </w:p>
        </w:tc>
      </w:tr>
    </w:tbl>
    <w:p>
      <w:pPr>
        <w:pStyle w:val="BodyText"/>
        <w:spacing w:before="0"/>
        <w:ind w:left="0"/>
        <w:rPr>
          <w:b/>
          <w:sz w:val="20"/>
        </w:rPr>
      </w:pPr>
    </w:p>
    <w:p>
      <w:pPr>
        <w:pStyle w:val="BodyText"/>
        <w:spacing w:before="30"/>
        <w:ind w:left="0"/>
        <w:rPr>
          <w:b/>
          <w:sz w:val="20"/>
        </w:rPr>
      </w:pPr>
    </w:p>
    <w:p>
      <w:pPr>
        <w:pStyle w:val="Heading1"/>
        <w:numPr>
          <w:ilvl w:val="0"/>
          <w:numId w:val="1"/>
        </w:numPr>
        <w:tabs>
          <w:tab w:val="left" w:pos="443"/>
        </w:tabs>
        <w:spacing w:before="0" w:after="0" w:line="240" w:lineRule="auto"/>
        <w:ind w:left="443" w:right="0" w:hanging="148"/>
        <w:jc w:val="left"/>
      </w:pPr>
      <w:bookmarkStart w:id="32" w:name="5.Installation and Adjustment"/>
      <w:bookmarkEnd w:id="32"/>
      <w:bookmarkStart w:id="33" w:name="_bookmark16"/>
      <w:bookmarkEnd w:id="33"/>
      <w:r>
        <w:rPr>
          <w:sz w:val="18"/>
        </w:rPr>
        <w:t xml:space="preserve">Instalace </w:t>
      </w:r>
      <w:r>
        <w:rPr>
          <w:sz w:val="18"/>
        </w:rPr>
        <w:t xml:space="preserve">a </w:t>
      </w:r>
      <w:r>
        <w:rPr>
          <w:spacing w:val="-2"/>
          <w:sz w:val="18"/>
        </w:rPr>
        <w:t>nastavení</w:t>
      </w:r>
    </w:p>
    <w:p>
      <w:pPr>
        <w:pStyle w:val="Heading1"/>
        <w:numPr>
          <w:ilvl w:val="1"/>
          <w:numId w:val="1"/>
        </w:numPr>
        <w:tabs>
          <w:tab w:val="left" w:pos="593"/>
        </w:tabs>
        <w:spacing w:before="60" w:after="0" w:line="240" w:lineRule="auto"/>
        <w:ind w:left="295" w:right="638" w:firstLine="0"/>
        <w:jc w:val="left"/>
      </w:pPr>
      <w:bookmarkStart w:id="34" w:name="5.1 Equipment Base, Installation Conditi"/>
      <w:bookmarkEnd w:id="34"/>
      <w:bookmarkStart w:id="35" w:name="_bookmark17"/>
      <w:bookmarkEnd w:id="35"/>
      <w:r>
        <w:rPr>
          <w:sz w:val="18"/>
        </w:rPr>
        <w:t xml:space="preserve">Základna </w:t>
      </w:r>
      <w:r>
        <w:rPr>
          <w:sz w:val="18"/>
        </w:rPr>
        <w:t>zařízení</w:t>
      </w:r>
      <w:r>
        <w:rPr>
          <w:sz w:val="18"/>
        </w:rPr>
        <w:t xml:space="preserve">, </w:t>
      </w:r>
      <w:r>
        <w:rPr>
          <w:sz w:val="18"/>
        </w:rPr>
        <w:t xml:space="preserve">podmínky </w:t>
      </w:r>
      <w:r>
        <w:rPr>
          <w:sz w:val="18"/>
        </w:rPr>
        <w:t xml:space="preserve">instalace </w:t>
      </w:r>
      <w:r>
        <w:rPr>
          <w:sz w:val="18"/>
        </w:rPr>
        <w:t xml:space="preserve">a </w:t>
      </w:r>
      <w:r>
        <w:rPr>
          <w:sz w:val="18"/>
        </w:rPr>
        <w:t xml:space="preserve">technické </w:t>
      </w:r>
      <w:r>
        <w:rPr>
          <w:sz w:val="18"/>
        </w:rPr>
        <w:t xml:space="preserve">požadavky </w:t>
      </w:r>
      <w:r>
        <w:rPr>
          <w:sz w:val="18"/>
        </w:rPr>
        <w:t xml:space="preserve">na </w:t>
      </w:r>
      <w:r>
        <w:rPr>
          <w:spacing w:val="-2"/>
          <w:sz w:val="18"/>
        </w:rPr>
        <w:t>instalaci</w:t>
      </w:r>
    </w:p>
    <w:p>
      <w:pPr>
        <w:pStyle w:val="BodyText"/>
        <w:spacing w:before="181" w:line="278" w:lineRule="auto"/>
        <w:ind w:right="292"/>
      </w:pPr>
      <w:r>
        <w:rPr>
          <w:sz w:val="16"/>
        </w:rPr>
        <w:t xml:space="preserve">Toto </w:t>
      </w:r>
      <w:r>
        <w:rPr>
          <w:sz w:val="16"/>
        </w:rPr>
        <w:t xml:space="preserve">injekční </w:t>
      </w:r>
      <w:r>
        <w:rPr>
          <w:sz w:val="16"/>
        </w:rPr>
        <w:t xml:space="preserve">čerpadlo </w:t>
      </w:r>
      <w:r>
        <w:rPr>
          <w:sz w:val="16"/>
        </w:rPr>
        <w:t xml:space="preserve">je </w:t>
      </w:r>
      <w:r>
        <w:rPr>
          <w:sz w:val="16"/>
        </w:rPr>
        <w:t xml:space="preserve">vhodné </w:t>
      </w:r>
      <w:r>
        <w:rPr>
          <w:sz w:val="16"/>
        </w:rPr>
        <w:t xml:space="preserve">pro </w:t>
      </w:r>
      <w:r>
        <w:rPr>
          <w:sz w:val="16"/>
        </w:rPr>
        <w:t xml:space="preserve">horizontální/vertikální </w:t>
      </w:r>
      <w:r>
        <w:rPr>
          <w:sz w:val="16"/>
        </w:rPr>
        <w:t xml:space="preserve">infuzní </w:t>
      </w:r>
      <w:r>
        <w:rPr>
          <w:sz w:val="16"/>
        </w:rPr>
        <w:t xml:space="preserve">stojany/tyče </w:t>
      </w:r>
      <w:r>
        <w:rPr>
          <w:sz w:val="16"/>
        </w:rPr>
        <w:t xml:space="preserve">o </w:t>
      </w:r>
      <w:r>
        <w:rPr>
          <w:sz w:val="16"/>
        </w:rPr>
        <w:t>průměru</w:t>
      </w:r>
      <w:r>
        <w:rPr>
          <w:sz w:val="16"/>
        </w:rPr>
        <w:t xml:space="preserve"> 12–35 mm a lze jej také provozovat na stole se sklonem maximálně 5 stupňů.</w:t>
      </w:r>
    </w:p>
    <w:p>
      <w:pPr>
        <w:pStyle w:val="BodyText"/>
        <w:spacing w:after="0" w:line="278" w:lineRule="auto"/>
        <w:sectPr>
          <w:type w:val="continuous"/>
          <w:pgSz w:w="8390" w:h="11910"/>
          <w:pgMar w:top="700" w:right="425" w:bottom="540" w:left="425" w:header="0" w:footer="342"/>
          <w:cols w:space="708"/>
        </w:sectPr>
      </w:pPr>
    </w:p>
    <w:p>
      <w:pPr>
        <w:pStyle w:val="Heading1"/>
        <w:numPr>
          <w:ilvl w:val="1"/>
          <w:numId w:val="1"/>
        </w:numPr>
        <w:tabs>
          <w:tab w:val="left" w:pos="593"/>
        </w:tabs>
        <w:spacing w:before="72" w:after="0" w:line="240" w:lineRule="auto"/>
        <w:ind w:left="593" w:right="0" w:hanging="298"/>
        <w:jc w:val="left"/>
      </w:pPr>
      <w:bookmarkStart w:id="36" w:name="5.2 Installation and Disassembly of the "/>
      <w:bookmarkEnd w:id="36"/>
      <w:bookmarkStart w:id="37" w:name="_bookmark18"/>
      <w:bookmarkEnd w:id="37"/>
      <w:r>
        <w:rPr>
          <w:sz w:val="18"/>
        </w:rPr>
        <w:t>Instal</w:t>
      </w:r>
      <w:r>
        <w:rPr>
          <w:sz w:val="18"/>
        </w:rPr>
        <w:t xml:space="preserve">ace </w:t>
      </w:r>
      <w:r>
        <w:rPr>
          <w:sz w:val="18"/>
        </w:rPr>
        <w:t xml:space="preserve">a </w:t>
      </w:r>
      <w:r>
        <w:rPr>
          <w:sz w:val="18"/>
        </w:rPr>
        <w:t xml:space="preserve">demontáž </w:t>
      </w:r>
      <w:r>
        <w:rPr>
          <w:sz w:val="18"/>
        </w:rPr>
        <w:t xml:space="preserve">upevňovací </w:t>
      </w:r>
      <w:r>
        <w:rPr>
          <w:spacing w:val="-4"/>
          <w:sz w:val="18"/>
        </w:rPr>
        <w:t>svorky</w:t>
      </w:r>
    </w:p>
    <w:p>
      <w:pPr>
        <w:spacing w:before="180"/>
        <w:ind w:left="295" w:right="0" w:firstLine="0"/>
        <w:jc w:val="left"/>
        <w:rPr>
          <w:b/>
          <w:sz w:val="18"/>
        </w:rPr>
      </w:pPr>
      <w:r>
        <w:rPr>
          <w:b/>
          <w:sz w:val="16"/>
        </w:rPr>
        <w:t xml:space="preserve">Instalace: </w:t>
      </w:r>
      <w:r>
        <w:rPr>
          <w:b/>
          <w:sz w:val="16"/>
        </w:rPr>
        <w:t xml:space="preserve">Upevňovací </w:t>
      </w:r>
      <w:r>
        <w:rPr>
          <w:b/>
          <w:sz w:val="16"/>
        </w:rPr>
        <w:t xml:space="preserve">svorku </w:t>
      </w:r>
      <w:r>
        <w:rPr>
          <w:b/>
          <w:sz w:val="16"/>
        </w:rPr>
        <w:t xml:space="preserve">lze </w:t>
      </w:r>
      <w:r>
        <w:rPr>
          <w:b/>
          <w:sz w:val="16"/>
        </w:rPr>
        <w:t xml:space="preserve">instalovat </w:t>
      </w:r>
      <w:r>
        <w:rPr>
          <w:b/>
          <w:sz w:val="16"/>
        </w:rPr>
        <w:t xml:space="preserve">vodorovně </w:t>
      </w:r>
      <w:r>
        <w:rPr>
          <w:b/>
          <w:sz w:val="16"/>
        </w:rPr>
        <w:t xml:space="preserve">nebo </w:t>
      </w:r>
      <w:r>
        <w:rPr>
          <w:b/>
          <w:spacing w:val="-2"/>
          <w:sz w:val="16"/>
        </w:rPr>
        <w:t>svisle.</w:t>
      </w:r>
    </w:p>
    <w:p>
      <w:pPr>
        <w:pStyle w:val="ListParagraph"/>
        <w:numPr>
          <w:ilvl w:val="0"/>
          <w:numId w:val="37"/>
        </w:numPr>
        <w:tabs>
          <w:tab w:val="left" w:pos="545"/>
        </w:tabs>
        <w:spacing w:before="189" w:after="0" w:line="240" w:lineRule="auto"/>
        <w:ind w:left="545" w:right="0" w:hanging="250"/>
        <w:jc w:val="left"/>
        <w:rPr>
          <w:b/>
          <w:sz w:val="18"/>
        </w:rPr>
      </w:pPr>
      <w:r>
        <w:rPr>
          <w:b/>
          <w:sz w:val="16"/>
        </w:rPr>
        <w:t xml:space="preserve">Vertikálně </w:t>
      </w:r>
      <w:r>
        <w:rPr>
          <w:b/>
          <w:sz w:val="16"/>
        </w:rPr>
        <w:t xml:space="preserve">zasuňte </w:t>
      </w:r>
      <w:r>
        <w:rPr>
          <w:b/>
          <w:sz w:val="16"/>
        </w:rPr>
        <w:t xml:space="preserve">upevňovací </w:t>
      </w:r>
      <w:r>
        <w:rPr>
          <w:b/>
          <w:sz w:val="16"/>
        </w:rPr>
        <w:t xml:space="preserve">svorku </w:t>
      </w:r>
      <w:r>
        <w:rPr>
          <w:b/>
          <w:sz w:val="16"/>
        </w:rPr>
        <w:t xml:space="preserve">podél </w:t>
      </w:r>
      <w:r>
        <w:rPr>
          <w:b/>
          <w:sz w:val="16"/>
        </w:rPr>
        <w:t xml:space="preserve">drážky </w:t>
      </w:r>
      <w:r>
        <w:rPr>
          <w:b/>
          <w:sz w:val="16"/>
        </w:rPr>
        <w:t xml:space="preserve">zdola </w:t>
      </w:r>
      <w:r>
        <w:rPr>
          <w:b/>
          <w:spacing w:val="-4"/>
          <w:sz w:val="16"/>
        </w:rPr>
        <w:t>nahoru.</w:t>
      </w:r>
    </w:p>
    <w:p>
      <w:pPr>
        <w:pStyle w:val="ListParagraph"/>
        <w:numPr>
          <w:ilvl w:val="0"/>
          <w:numId w:val="37"/>
        </w:numPr>
        <w:tabs>
          <w:tab w:val="left" w:pos="547"/>
        </w:tabs>
        <w:spacing w:before="189" w:after="0" w:line="240" w:lineRule="auto"/>
        <w:ind w:left="547" w:right="0" w:hanging="252"/>
        <w:jc w:val="left"/>
        <w:rPr>
          <w:b/>
          <w:sz w:val="18"/>
        </w:rPr>
      </w:pPr>
      <w:r>
        <w:rPr>
          <w:b/>
          <w:sz w:val="16"/>
        </w:rPr>
        <w:t xml:space="preserve">Při horizontální instalaci </w:t>
      </w:r>
      <w:r>
        <w:rPr>
          <w:b/>
          <w:sz w:val="16"/>
        </w:rPr>
        <w:t xml:space="preserve">posuňte </w:t>
      </w:r>
      <w:r>
        <w:rPr>
          <w:b/>
          <w:sz w:val="16"/>
        </w:rPr>
        <w:t xml:space="preserve">upevňovací </w:t>
      </w:r>
      <w:r>
        <w:rPr>
          <w:b/>
          <w:sz w:val="16"/>
        </w:rPr>
        <w:t xml:space="preserve">svorku </w:t>
      </w:r>
      <w:r>
        <w:rPr>
          <w:b/>
          <w:sz w:val="16"/>
        </w:rPr>
        <w:t xml:space="preserve">podél </w:t>
      </w:r>
      <w:r>
        <w:rPr>
          <w:b/>
          <w:sz w:val="16"/>
        </w:rPr>
        <w:t xml:space="preserve">drážky </w:t>
      </w:r>
      <w:r>
        <w:rPr>
          <w:b/>
          <w:sz w:val="16"/>
        </w:rPr>
        <w:t xml:space="preserve">zleva </w:t>
      </w:r>
      <w:r>
        <w:rPr>
          <w:b/>
          <w:spacing w:val="-2"/>
          <w:sz w:val="16"/>
        </w:rPr>
        <w:t>doprava.</w:t>
      </w:r>
    </w:p>
    <w:p>
      <w:pPr>
        <w:pStyle w:val="BodyText"/>
        <w:spacing w:before="189" w:line="278" w:lineRule="auto"/>
        <w:ind w:right="293"/>
        <w:jc w:val="both"/>
      </w:pPr>
      <w:r>
        <w:rPr>
          <w:sz w:val="16"/>
        </w:rPr>
        <w:t xml:space="preserve">Demontáž: Otočením knoflíku zasuňte šroub upevňovací svorky, stiskněte výstupek </w:t>
      </w:r>
      <w:r>
        <w:rPr>
          <w:sz w:val="16"/>
        </w:rPr>
        <w:t>uprostřed upevňovací svorky a vysuňte ji v opačném směru než při instalaci, čímž dokončíte demontáž upevňovací svorky.</w:t>
      </w:r>
    </w:p>
    <w:p>
      <w:pPr>
        <w:pStyle w:val="BodyText"/>
        <w:spacing w:before="0"/>
        <w:ind w:left="0"/>
        <w:rPr>
          <w:sz w:val="11"/>
        </w:rPr>
      </w:pPr>
      <w:r>
        <w:rPr>
          <w:sz w:val="11"/>
        </w:rPr>
        <w:drawing>
          <wp:anchor distT="0" distB="0" distL="0" distR="0" simplePos="0" relativeHeight="251677696" behindDoc="1" locked="0" layoutInCell="1" allowOverlap="1">
            <wp:simplePos x="0" y="0"/>
            <wp:positionH relativeFrom="page">
              <wp:posOffset>904319</wp:posOffset>
            </wp:positionH>
            <wp:positionV relativeFrom="paragraph">
              <wp:posOffset>96024</wp:posOffset>
            </wp:positionV>
            <wp:extent cx="1510601" cy="1357884"/>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xmlns:r="http://schemas.openxmlformats.org/officeDocument/2006/relationships" r:embed="rId7" cstate="print"/>
                    <a:stretch>
                      <a:fillRect/>
                    </a:stretch>
                  </pic:blipFill>
                  <pic:spPr>
                    <a:xfrm>
                      <a:off x="0" y="0"/>
                      <a:ext cx="1510601" cy="1357884"/>
                    </a:xfrm>
                    <a:prstGeom prst="rect">
                      <a:avLst/>
                    </a:prstGeom>
                  </pic:spPr>
                </pic:pic>
              </a:graphicData>
            </a:graphic>
          </wp:anchor>
        </w:drawing>
      </w:r>
      <w:r>
        <w:rPr>
          <w:sz w:val="11"/>
        </w:rPr>
        <w:drawing>
          <wp:anchor distT="0" distB="0" distL="0" distR="0" simplePos="0" relativeHeight="251678720" behindDoc="1" locked="0" layoutInCell="1" allowOverlap="1">
            <wp:simplePos x="0" y="0"/>
            <wp:positionH relativeFrom="page">
              <wp:posOffset>2898648</wp:posOffset>
            </wp:positionH>
            <wp:positionV relativeFrom="paragraph">
              <wp:posOffset>118692</wp:posOffset>
            </wp:positionV>
            <wp:extent cx="1487172" cy="1322831"/>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xmlns:r="http://schemas.openxmlformats.org/officeDocument/2006/relationships" r:embed="rId8" cstate="print"/>
                    <a:stretch>
                      <a:fillRect/>
                    </a:stretch>
                  </pic:blipFill>
                  <pic:spPr>
                    <a:xfrm>
                      <a:off x="0" y="0"/>
                      <a:ext cx="1487172" cy="1322831"/>
                    </a:xfrm>
                    <a:prstGeom prst="rect">
                      <a:avLst/>
                    </a:prstGeom>
                  </pic:spPr>
                </pic:pic>
              </a:graphicData>
            </a:graphic>
          </wp:anchor>
        </w:drawing>
      </w:r>
    </w:p>
    <w:p>
      <w:pPr>
        <w:pStyle w:val="BodyText"/>
        <w:spacing w:before="0"/>
        <w:ind w:left="0"/>
      </w:pPr>
    </w:p>
    <w:p>
      <w:pPr>
        <w:pStyle w:val="BodyText"/>
        <w:spacing w:before="80"/>
        <w:ind w:left="0"/>
      </w:pPr>
    </w:p>
    <w:p>
      <w:pPr>
        <w:pStyle w:val="Heading1"/>
        <w:numPr>
          <w:ilvl w:val="1"/>
          <w:numId w:val="1"/>
        </w:numPr>
        <w:tabs>
          <w:tab w:val="left" w:pos="593"/>
        </w:tabs>
        <w:spacing w:before="0" w:after="0" w:line="240" w:lineRule="auto"/>
        <w:ind w:left="593" w:right="0" w:hanging="298"/>
        <w:jc w:val="left"/>
      </w:pPr>
      <w:bookmarkStart w:id="38" w:name="5.3 Installation Methods and Precautions"/>
      <w:bookmarkEnd w:id="38"/>
      <w:bookmarkStart w:id="39" w:name="_bookmark19"/>
      <w:bookmarkEnd w:id="39"/>
      <w:r>
        <w:rPr>
          <w:sz w:val="18"/>
        </w:rPr>
        <w:t xml:space="preserve">Způsoby </w:t>
      </w:r>
      <w:r>
        <w:rPr>
          <w:sz w:val="18"/>
        </w:rPr>
        <w:t xml:space="preserve">instalace </w:t>
      </w:r>
      <w:r>
        <w:rPr>
          <w:sz w:val="18"/>
        </w:rPr>
        <w:t xml:space="preserve">a </w:t>
      </w:r>
      <w:r>
        <w:rPr>
          <w:spacing w:val="-2"/>
          <w:sz w:val="18"/>
        </w:rPr>
        <w:t>bezpečnostní opatření</w:t>
      </w:r>
    </w:p>
    <w:p>
      <w:pPr>
        <w:pStyle w:val="BodyText"/>
        <w:spacing w:before="180"/>
      </w:pPr>
      <w:r>
        <w:rPr>
          <w:sz w:val="16"/>
        </w:rPr>
        <w:t xml:space="preserve">Metoda </w:t>
      </w:r>
      <w:r>
        <w:rPr>
          <w:sz w:val="16"/>
        </w:rPr>
        <w:t xml:space="preserve">I: </w:t>
      </w:r>
      <w:r>
        <w:rPr>
          <w:sz w:val="16"/>
        </w:rPr>
        <w:t xml:space="preserve">Umístěte </w:t>
      </w:r>
      <w:r>
        <w:rPr>
          <w:sz w:val="16"/>
        </w:rPr>
        <w:t xml:space="preserve">injekční </w:t>
      </w:r>
      <w:r>
        <w:rPr>
          <w:sz w:val="16"/>
        </w:rPr>
        <w:t xml:space="preserve">pumpu na </w:t>
      </w:r>
      <w:r>
        <w:rPr>
          <w:sz w:val="16"/>
        </w:rPr>
        <w:t xml:space="preserve">stabilní </w:t>
      </w:r>
      <w:r>
        <w:rPr>
          <w:spacing w:val="-2"/>
          <w:sz w:val="16"/>
        </w:rPr>
        <w:t>povrch.</w:t>
      </w:r>
    </w:p>
    <w:p>
      <w:pPr>
        <w:pStyle w:val="BodyText"/>
        <w:spacing w:before="189"/>
      </w:pPr>
      <w:r>
        <w:rPr>
          <w:sz w:val="16"/>
        </w:rPr>
        <w:t xml:space="preserve">Metoda </w:t>
      </w:r>
      <w:r>
        <w:rPr>
          <w:sz w:val="16"/>
        </w:rPr>
        <w:t xml:space="preserve">II: </w:t>
      </w:r>
      <w:r>
        <w:rPr>
          <w:sz w:val="16"/>
        </w:rPr>
        <w:t xml:space="preserve">Upevněte </w:t>
      </w:r>
      <w:r>
        <w:rPr>
          <w:sz w:val="16"/>
        </w:rPr>
        <w:t xml:space="preserve">injekční </w:t>
      </w:r>
      <w:r>
        <w:rPr>
          <w:sz w:val="16"/>
        </w:rPr>
        <w:t xml:space="preserve">pumpu na </w:t>
      </w:r>
      <w:r>
        <w:rPr>
          <w:sz w:val="16"/>
        </w:rPr>
        <w:t xml:space="preserve">infuzní </w:t>
      </w:r>
      <w:r>
        <w:rPr>
          <w:sz w:val="16"/>
        </w:rPr>
        <w:t xml:space="preserve">stojan </w:t>
      </w:r>
      <w:r>
        <w:rPr>
          <w:sz w:val="16"/>
        </w:rPr>
        <w:t xml:space="preserve">pomocí </w:t>
      </w:r>
      <w:r>
        <w:rPr>
          <w:sz w:val="16"/>
        </w:rPr>
        <w:t xml:space="preserve">následujících </w:t>
      </w:r>
      <w:r>
        <w:rPr>
          <w:spacing w:val="-2"/>
          <w:sz w:val="16"/>
        </w:rPr>
        <w:t>kroků:</w:t>
      </w:r>
    </w:p>
    <w:p>
      <w:pPr>
        <w:pStyle w:val="ListParagraph"/>
        <w:numPr>
          <w:ilvl w:val="0"/>
          <w:numId w:val="36"/>
        </w:numPr>
        <w:tabs>
          <w:tab w:val="left" w:pos="548"/>
        </w:tabs>
        <w:spacing w:before="189" w:after="0" w:line="240" w:lineRule="auto"/>
        <w:ind w:left="548" w:right="0" w:hanging="253"/>
        <w:jc w:val="left"/>
        <w:rPr>
          <w:sz w:val="18"/>
        </w:rPr>
      </w:pPr>
      <w:r>
        <w:rPr>
          <w:sz w:val="16"/>
        </w:rPr>
        <w:t xml:space="preserve">Otočením </w:t>
      </w:r>
      <w:r>
        <w:rPr>
          <w:sz w:val="16"/>
        </w:rPr>
        <w:t xml:space="preserve">knoflíku </w:t>
      </w:r>
      <w:r>
        <w:rPr>
          <w:sz w:val="16"/>
        </w:rPr>
        <w:t xml:space="preserve">upevňovací </w:t>
      </w:r>
      <w:r>
        <w:rPr>
          <w:sz w:val="16"/>
        </w:rPr>
        <w:t xml:space="preserve">svorky </w:t>
      </w:r>
      <w:r>
        <w:rPr>
          <w:sz w:val="16"/>
        </w:rPr>
        <w:t xml:space="preserve">zatáhněte </w:t>
      </w:r>
      <w:r>
        <w:rPr>
          <w:sz w:val="16"/>
        </w:rPr>
        <w:t xml:space="preserve">šroub a </w:t>
      </w:r>
      <w:r>
        <w:rPr>
          <w:sz w:val="16"/>
        </w:rPr>
        <w:t xml:space="preserve">ponechte volný </w:t>
      </w:r>
      <w:r>
        <w:rPr>
          <w:spacing w:val="-2"/>
          <w:sz w:val="16"/>
        </w:rPr>
        <w:t>prostor.</w:t>
      </w:r>
    </w:p>
    <w:p>
      <w:pPr>
        <w:pStyle w:val="ListParagraph"/>
        <w:numPr>
          <w:ilvl w:val="0"/>
          <w:numId w:val="36"/>
        </w:numPr>
        <w:tabs>
          <w:tab w:val="left" w:pos="581"/>
        </w:tabs>
        <w:spacing w:before="189" w:after="0" w:line="278" w:lineRule="auto"/>
        <w:ind w:left="295" w:right="291" w:firstLine="0"/>
        <w:jc w:val="both"/>
        <w:rPr>
          <w:sz w:val="18"/>
        </w:rPr>
      </w:pPr>
      <w:r>
        <w:rPr>
          <w:sz w:val="16"/>
        </w:rPr>
        <w:t xml:space="preserve">Upněte upevňovací svorku na infuzní stojan a po nastavení polohy injekční pumpy </w:t>
      </w:r>
      <w:r>
        <w:rPr>
          <w:sz w:val="16"/>
        </w:rPr>
        <w:t xml:space="preserve">utáhněte </w:t>
      </w:r>
      <w:r>
        <w:rPr>
          <w:sz w:val="16"/>
        </w:rPr>
        <w:t xml:space="preserve">knoflík </w:t>
      </w:r>
      <w:r>
        <w:rPr>
          <w:sz w:val="16"/>
        </w:rPr>
        <w:t xml:space="preserve">upevňovací </w:t>
      </w:r>
      <w:r>
        <w:rPr>
          <w:sz w:val="16"/>
        </w:rPr>
        <w:t>svorky</w:t>
      </w:r>
      <w:r>
        <w:rPr>
          <w:sz w:val="16"/>
        </w:rPr>
        <w:t xml:space="preserve">, </w:t>
      </w:r>
      <w:r>
        <w:rPr>
          <w:sz w:val="16"/>
        </w:rPr>
        <w:t xml:space="preserve">aby </w:t>
      </w:r>
      <w:r>
        <w:rPr>
          <w:sz w:val="16"/>
        </w:rPr>
        <w:t xml:space="preserve">byla </w:t>
      </w:r>
      <w:r>
        <w:rPr>
          <w:sz w:val="16"/>
        </w:rPr>
        <w:t xml:space="preserve">injekční pumpa </w:t>
      </w:r>
      <w:r>
        <w:rPr>
          <w:sz w:val="16"/>
        </w:rPr>
        <w:t xml:space="preserve">na </w:t>
      </w:r>
      <w:r>
        <w:rPr>
          <w:sz w:val="16"/>
        </w:rPr>
        <w:t xml:space="preserve">infuzním </w:t>
      </w:r>
      <w:r>
        <w:rPr>
          <w:sz w:val="16"/>
        </w:rPr>
        <w:t xml:space="preserve">stojanu </w:t>
      </w:r>
      <w:r>
        <w:rPr>
          <w:sz w:val="16"/>
        </w:rPr>
        <w:t>pevně uchycena</w:t>
      </w:r>
      <w:r>
        <w:rPr>
          <w:sz w:val="16"/>
        </w:rPr>
        <w:t xml:space="preserve">. Při utahování </w:t>
      </w:r>
      <w:r>
        <w:rPr>
          <w:sz w:val="16"/>
        </w:rPr>
        <w:t>upevňovací svorky držte injekční pumpu pevně rukou; uvolněte ji až po utažení, aby nedošlo k prokluzu.</w:t>
      </w:r>
    </w:p>
    <w:p>
      <w:pPr>
        <w:pStyle w:val="ListParagraph"/>
        <w:spacing w:after="0" w:line="278" w:lineRule="auto"/>
        <w:jc w:val="both"/>
        <w:rPr>
          <w:sz w:val="18"/>
        </w:rPr>
        <w:sectPr>
          <w:pgSz w:w="8390" w:h="11910"/>
          <w:pgMar w:top="640" w:right="425" w:bottom="540" w:left="425" w:header="0" w:footer="342"/>
          <w:cols w:space="708"/>
        </w:sectPr>
      </w:pPr>
    </w:p>
    <w:p>
      <w:pPr>
        <w:pStyle w:val="Heading1"/>
        <w:numPr>
          <w:ilvl w:val="0"/>
          <w:numId w:val="1"/>
        </w:numPr>
        <w:tabs>
          <w:tab w:val="left" w:pos="443"/>
        </w:tabs>
        <w:spacing w:before="72" w:after="0" w:line="240" w:lineRule="auto"/>
        <w:ind w:left="443" w:right="0" w:hanging="148"/>
        <w:jc w:val="left"/>
      </w:pPr>
      <w:bookmarkStart w:id="40" w:name="6.Appearance Description"/>
      <w:bookmarkEnd w:id="40"/>
      <w:bookmarkStart w:id="41" w:name="_bookmark20"/>
      <w:bookmarkEnd w:id="41"/>
      <w:r>
        <w:rPr>
          <w:sz w:val="18"/>
        </w:rPr>
        <w:t xml:space="preserve">Vzhled </w:t>
      </w:r>
      <w:r>
        <w:rPr>
          <w:spacing w:val="-2"/>
          <w:sz w:val="18"/>
        </w:rPr>
        <w:t>Popis</w:t>
      </w:r>
    </w:p>
    <w:p>
      <w:pPr>
        <w:pStyle w:val="Heading1"/>
        <w:numPr>
          <w:ilvl w:val="1"/>
          <w:numId w:val="1"/>
        </w:numPr>
        <w:tabs>
          <w:tab w:val="left" w:pos="593"/>
        </w:tabs>
        <w:spacing w:before="63" w:after="0" w:line="240" w:lineRule="auto"/>
        <w:ind w:left="593" w:right="0" w:hanging="298"/>
        <w:jc w:val="left"/>
      </w:pPr>
      <w:bookmarkStart w:id="42" w:name="6.1 Front View"/>
      <w:bookmarkEnd w:id="42"/>
      <w:bookmarkStart w:id="43" w:name="_bookmark21"/>
      <w:bookmarkEnd w:id="43"/>
      <w:r>
        <w:rPr>
          <w:spacing w:val="-4"/>
          <w:sz w:val="18"/>
        </w:rPr>
        <w:t xml:space="preserve">Pohled </w:t>
      </w:r>
      <w:r>
        <w:rPr>
          <w:spacing w:val="-2"/>
          <w:sz w:val="18"/>
        </w:rPr>
        <w:t>zepředu</w:t>
      </w:r>
    </w:p>
    <w:p>
      <w:pPr>
        <w:pStyle w:val="BodyText"/>
        <w:spacing w:before="0"/>
        <w:ind w:left="0"/>
        <w:rPr>
          <w:b/>
          <w:sz w:val="20"/>
        </w:rPr>
      </w:pPr>
    </w:p>
    <w:p>
      <w:pPr>
        <w:pStyle w:val="BodyText"/>
        <w:spacing w:before="96"/>
        <w:ind w:left="0"/>
        <w:rPr>
          <w:b/>
          <w:sz w:val="20"/>
        </w:rPr>
      </w:pPr>
      <w:r>
        <w:rPr>
          <w:b/>
          <w:sz w:val="20"/>
        </w:rPr>
        <w:drawing>
          <wp:anchor distT="0" distB="0" distL="0" distR="0" simplePos="0" relativeHeight="251679744" behindDoc="1" locked="0" layoutInCell="1" allowOverlap="1">
            <wp:simplePos x="0" y="0"/>
            <wp:positionH relativeFrom="page">
              <wp:posOffset>594036</wp:posOffset>
            </wp:positionH>
            <wp:positionV relativeFrom="paragraph">
              <wp:posOffset>222326</wp:posOffset>
            </wp:positionV>
            <wp:extent cx="4225987" cy="3506724"/>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xmlns:r="http://schemas.openxmlformats.org/officeDocument/2006/relationships" r:embed="rId9" cstate="print"/>
                    <a:stretch>
                      <a:fillRect/>
                    </a:stretch>
                  </pic:blipFill>
                  <pic:spPr>
                    <a:xfrm>
                      <a:off x="0" y="0"/>
                      <a:ext cx="4225987" cy="3506724"/>
                    </a:xfrm>
                    <a:prstGeom prst="rect">
                      <a:avLst/>
                    </a:prstGeom>
                  </pic:spPr>
                </pic:pic>
              </a:graphicData>
            </a:graphic>
          </wp:anchor>
        </w:drawing>
      </w:r>
    </w:p>
    <w:p>
      <w:pPr>
        <w:pStyle w:val="BodyText"/>
        <w:spacing w:before="106" w:after="1"/>
        <w:ind w:left="0"/>
        <w:rPr>
          <w:b/>
          <w:sz w:val="20"/>
        </w:rPr>
      </w:pPr>
    </w:p>
    <w:tbl>
      <w:tblPr>
        <w:tblStyle w:val="TableNormal"/>
        <w:tblW w:w="0" w:type="auto"/>
        <w:jc w:val="left"/>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0"/>
        <w:gridCol w:w="2556"/>
        <w:gridCol w:w="1857"/>
      </w:tblGrid>
      <w:tr>
        <w:tblPrEx>
          <w:tblW w:w="0" w:type="auto"/>
          <w:tblInd w:w="252" w:type="dxa"/>
          <w:tblLayout w:type="fixed"/>
          <w:tblLook w:val="01E0"/>
        </w:tblPrEx>
        <w:trPr>
          <w:trHeight w:val="266"/>
        </w:trPr>
        <w:tc>
          <w:tcPr>
            <w:tcW w:w="1450" w:type="dxa"/>
          </w:tcPr>
          <w:p>
            <w:pPr>
              <w:pStyle w:val="TableParagraph"/>
              <w:spacing w:line="246" w:lineRule="exact"/>
              <w:ind w:left="50"/>
              <w:rPr>
                <w:sz w:val="18"/>
              </w:rPr>
            </w:pPr>
            <w:r>
              <w:rPr>
                <w:rFonts w:ascii="Noto Sans CJK JP" w:hAnsi="Noto Sans CJK JP"/>
                <w:sz w:val="16"/>
              </w:rPr>
              <w:t xml:space="preserve">① </w:t>
            </w:r>
            <w:r>
              <w:rPr>
                <w:sz w:val="16"/>
              </w:rPr>
              <w:t xml:space="preserve">— </w:t>
            </w:r>
            <w:r>
              <w:rPr>
                <w:spacing w:val="-2"/>
                <w:sz w:val="16"/>
              </w:rPr>
              <w:t>Rukojeť</w:t>
            </w:r>
          </w:p>
        </w:tc>
        <w:tc>
          <w:tcPr>
            <w:tcW w:w="2556" w:type="dxa"/>
          </w:tcPr>
          <w:p>
            <w:pPr>
              <w:pStyle w:val="TableParagraph"/>
              <w:spacing w:line="246" w:lineRule="exact"/>
              <w:ind w:left="428"/>
              <w:rPr>
                <w:sz w:val="18"/>
              </w:rPr>
            </w:pPr>
            <w:r>
              <w:rPr>
                <w:rFonts w:ascii="Noto Sans CJK JP" w:hAnsi="Noto Sans CJK JP"/>
                <w:sz w:val="16"/>
              </w:rPr>
              <w:t xml:space="preserve">② </w:t>
            </w:r>
            <w:r>
              <w:rPr>
                <w:sz w:val="16"/>
              </w:rPr>
              <w:t xml:space="preserve">— </w:t>
            </w:r>
            <w:r>
              <w:rPr>
                <w:spacing w:val="-2"/>
                <w:sz w:val="16"/>
              </w:rPr>
              <w:t xml:space="preserve">Tlačítko </w:t>
            </w:r>
            <w:r>
              <w:rPr>
                <w:sz w:val="16"/>
              </w:rPr>
              <w:t>detekce</w:t>
            </w:r>
          </w:p>
        </w:tc>
        <w:tc>
          <w:tcPr>
            <w:tcW w:w="1857" w:type="dxa"/>
          </w:tcPr>
          <w:p>
            <w:pPr>
              <w:pStyle w:val="TableParagraph"/>
              <w:spacing w:line="246" w:lineRule="exact"/>
              <w:ind w:left="438"/>
              <w:rPr>
                <w:sz w:val="18"/>
              </w:rPr>
            </w:pPr>
            <w:r>
              <w:rPr>
                <w:rFonts w:ascii="Noto Sans CJK JP" w:hAnsi="Noto Sans CJK JP"/>
                <w:sz w:val="16"/>
              </w:rPr>
              <w:t xml:space="preserve">③ </w:t>
            </w:r>
            <w:r>
              <w:rPr>
                <w:sz w:val="16"/>
              </w:rPr>
              <w:t xml:space="preserve">— </w:t>
            </w:r>
            <w:r>
              <w:rPr>
                <w:sz w:val="16"/>
              </w:rPr>
              <w:t xml:space="preserve">Tlačná </w:t>
            </w:r>
            <w:r>
              <w:rPr>
                <w:spacing w:val="-2"/>
                <w:sz w:val="16"/>
              </w:rPr>
              <w:t>rukojeť</w:t>
            </w:r>
          </w:p>
        </w:tc>
      </w:tr>
      <w:tr>
        <w:tblPrEx>
          <w:tblW w:w="0" w:type="auto"/>
          <w:tblInd w:w="252" w:type="dxa"/>
          <w:tblLayout w:type="fixed"/>
          <w:tblLook w:val="01E0"/>
        </w:tblPrEx>
        <w:trPr>
          <w:trHeight w:val="266"/>
        </w:trPr>
        <w:tc>
          <w:tcPr>
            <w:tcW w:w="1450" w:type="dxa"/>
          </w:tcPr>
          <w:p>
            <w:pPr>
              <w:pStyle w:val="TableParagraph"/>
              <w:spacing w:line="246" w:lineRule="exact"/>
              <w:ind w:left="50"/>
              <w:rPr>
                <w:sz w:val="18"/>
              </w:rPr>
            </w:pPr>
            <w:r>
              <w:rPr>
                <w:rFonts w:ascii="Noto Sans CJK JP" w:hAnsi="Noto Sans CJK JP"/>
                <w:sz w:val="16"/>
              </w:rPr>
              <w:t xml:space="preserve">④ </w:t>
            </w:r>
            <w:r>
              <w:rPr>
                <w:sz w:val="16"/>
              </w:rPr>
              <w:t xml:space="preserve">— </w:t>
            </w:r>
            <w:r>
              <w:rPr>
                <w:spacing w:val="-2"/>
                <w:sz w:val="16"/>
              </w:rPr>
              <w:t>Spojka</w:t>
            </w:r>
          </w:p>
        </w:tc>
        <w:tc>
          <w:tcPr>
            <w:tcW w:w="2556" w:type="dxa"/>
          </w:tcPr>
          <w:p>
            <w:pPr>
              <w:pStyle w:val="TableParagraph"/>
              <w:spacing w:line="246" w:lineRule="exact"/>
              <w:ind w:left="428"/>
              <w:rPr>
                <w:sz w:val="18"/>
              </w:rPr>
            </w:pPr>
            <w:r>
              <w:rPr>
                <w:rFonts w:ascii="Noto Sans CJK JP" w:hAnsi="Noto Sans CJK JP"/>
                <w:sz w:val="16"/>
              </w:rPr>
              <w:t xml:space="preserve">⑤ </w:t>
            </w:r>
            <w:r>
              <w:rPr>
                <w:sz w:val="16"/>
              </w:rPr>
              <w:t xml:space="preserve">— </w:t>
            </w:r>
            <w:r>
              <w:rPr>
                <w:spacing w:val="-2"/>
                <w:sz w:val="16"/>
              </w:rPr>
              <w:t>Svorka</w:t>
            </w:r>
          </w:p>
        </w:tc>
        <w:tc>
          <w:tcPr>
            <w:tcW w:w="1857" w:type="dxa"/>
          </w:tcPr>
          <w:p>
            <w:pPr>
              <w:pStyle w:val="TableParagraph"/>
              <w:spacing w:line="246" w:lineRule="exact"/>
              <w:ind w:left="438"/>
              <w:rPr>
                <w:sz w:val="18"/>
              </w:rPr>
            </w:pPr>
            <w:r>
              <w:rPr>
                <w:rFonts w:ascii="Noto Sans CJK JP" w:hAnsi="Noto Sans CJK JP"/>
                <w:sz w:val="16"/>
              </w:rPr>
              <w:t xml:space="preserve">⑥ </w:t>
            </w:r>
            <w:r>
              <w:rPr>
                <w:sz w:val="16"/>
              </w:rPr>
              <w:t xml:space="preserve">— </w:t>
            </w:r>
            <w:r>
              <w:rPr>
                <w:spacing w:val="-4"/>
                <w:sz w:val="16"/>
              </w:rPr>
              <w:t>Drážka</w:t>
            </w:r>
          </w:p>
        </w:tc>
      </w:tr>
    </w:tbl>
    <w:p>
      <w:pPr>
        <w:pStyle w:val="BodyText"/>
        <w:tabs>
          <w:tab w:val="left" w:pos="1943"/>
        </w:tabs>
        <w:spacing w:before="35" w:line="350" w:lineRule="exact"/>
      </w:pPr>
      <w:r>
        <w:rPr>
          <w:rFonts w:ascii="Noto Sans CJK JP" w:hAnsi="Noto Sans CJK JP"/>
          <w:sz w:val="16"/>
        </w:rPr>
        <w:t xml:space="preserve">⑦ </w:t>
      </w:r>
      <w:r>
        <w:rPr>
          <w:sz w:val="16"/>
        </w:rPr>
        <w:t xml:space="preserve">— </w:t>
      </w:r>
      <w:r>
        <w:rPr>
          <w:sz w:val="16"/>
        </w:rPr>
        <w:t xml:space="preserve">Tahová </w:t>
      </w:r>
      <w:r>
        <w:rPr>
          <w:spacing w:val="-2"/>
          <w:sz w:val="16"/>
        </w:rPr>
        <w:t>rukojeť</w:t>
      </w:r>
      <w:r>
        <w:rPr>
          <w:sz w:val="16"/>
        </w:rPr>
        <w:tab/>
      </w:r>
      <w:r>
        <w:rPr>
          <w:rFonts w:ascii="Noto Sans CJK JP" w:hAnsi="Noto Sans CJK JP"/>
          <w:sz w:val="16"/>
        </w:rPr>
        <w:t xml:space="preserve">⑧ </w:t>
      </w:r>
      <w:r>
        <w:rPr>
          <w:sz w:val="16"/>
        </w:rPr>
        <w:t xml:space="preserve">— </w:t>
      </w:r>
      <w:r>
        <w:rPr>
          <w:sz w:val="16"/>
        </w:rPr>
        <w:t xml:space="preserve">Kontrolka </w:t>
      </w:r>
      <w:r>
        <w:rPr>
          <w:sz w:val="16"/>
        </w:rPr>
        <w:t>chodu/alarmu</w:t>
      </w:r>
      <w:r>
        <w:rPr>
          <w:spacing w:val="41"/>
          <w:sz w:val="16"/>
        </w:rPr>
        <w:t xml:space="preserve">  </w:t>
      </w:r>
      <w:r>
        <w:rPr>
          <w:rFonts w:ascii="Noto Sans CJK JP" w:hAnsi="Noto Sans CJK JP"/>
          <w:sz w:val="16"/>
        </w:rPr>
        <w:t xml:space="preserve"> </w:t>
      </w:r>
      <w:r>
        <w:rPr>
          <w:sz w:val="16"/>
        </w:rPr>
        <w:t xml:space="preserve">⑨— </w:t>
      </w:r>
      <w:r>
        <w:rPr>
          <w:spacing w:val="-2"/>
          <w:sz w:val="16"/>
        </w:rPr>
        <w:t>Displej</w:t>
      </w:r>
    </w:p>
    <w:p>
      <w:pPr>
        <w:pStyle w:val="BodyText"/>
        <w:tabs>
          <w:tab w:val="left" w:pos="2188"/>
        </w:tabs>
        <w:spacing w:before="0" w:line="335" w:lineRule="exact"/>
      </w:pPr>
      <w:r>
        <w:rPr>
          <w:rFonts w:ascii="Noto Sans CJK JP" w:hAnsi="Noto Sans CJK JP"/>
          <w:sz w:val="16"/>
        </w:rPr>
        <w:t xml:space="preserve">⑩ </w:t>
      </w:r>
      <w:r>
        <w:rPr>
          <w:sz w:val="16"/>
        </w:rPr>
        <w:t xml:space="preserve">— </w:t>
      </w:r>
      <w:r>
        <w:rPr>
          <w:sz w:val="16"/>
        </w:rPr>
        <w:t xml:space="preserve">Ovládací </w:t>
      </w:r>
      <w:r>
        <w:rPr>
          <w:spacing w:val="-2"/>
          <w:sz w:val="16"/>
        </w:rPr>
        <w:t>panel</w:t>
      </w:r>
      <w:r>
        <w:rPr>
          <w:sz w:val="16"/>
        </w:rPr>
        <w:tab/>
      </w:r>
      <w:r>
        <w:rPr>
          <w:rFonts w:ascii="Arial Unicode MS" w:hAnsi="Arial Unicode MS"/>
          <w:sz w:val="16"/>
        </w:rPr>
        <w:t xml:space="preserve">➃ </w:t>
      </w:r>
      <w:r>
        <w:rPr>
          <w:sz w:val="16"/>
        </w:rPr>
        <w:t xml:space="preserve">— </w:t>
      </w:r>
      <w:r>
        <w:rPr>
          <w:spacing w:val="-2"/>
          <w:sz w:val="16"/>
        </w:rPr>
        <w:t xml:space="preserve">Tlačítko </w:t>
      </w:r>
      <w:r>
        <w:rPr>
          <w:sz w:val="16"/>
        </w:rPr>
        <w:t xml:space="preserve">pro detekci </w:t>
      </w:r>
      <w:r>
        <w:rPr>
          <w:sz w:val="16"/>
        </w:rPr>
        <w:t xml:space="preserve">abnormálního </w:t>
      </w:r>
      <w:r>
        <w:rPr>
          <w:sz w:val="16"/>
        </w:rPr>
        <w:t xml:space="preserve">alarmu </w:t>
      </w:r>
      <w:r>
        <w:rPr>
          <w:sz w:val="16"/>
        </w:rPr>
        <w:t xml:space="preserve">při zvlnění </w:t>
      </w:r>
      <w:r>
        <w:rPr>
          <w:sz w:val="16"/>
        </w:rPr>
        <w:t>okraje</w:t>
      </w:r>
    </w:p>
    <w:p>
      <w:pPr>
        <w:pStyle w:val="BodyText"/>
        <w:spacing w:before="18" w:line="208" w:lineRule="auto"/>
        <w:ind w:left="719" w:hanging="425"/>
      </w:pPr>
      <w:r>
        <w:rPr>
          <w:rFonts w:ascii="Noto Sans CJK JP" w:hAnsi="Noto Sans CJK JP"/>
          <w:sz w:val="16"/>
        </w:rPr>
        <w:t xml:space="preserve">⑧ </w:t>
      </w:r>
      <w:r>
        <w:rPr>
          <w:sz w:val="16"/>
        </w:rPr>
        <w:t xml:space="preserve">— </w:t>
      </w:r>
      <w:r>
        <w:rPr>
          <w:sz w:val="16"/>
        </w:rPr>
        <w:t xml:space="preserve">Slouží </w:t>
      </w:r>
      <w:r>
        <w:rPr>
          <w:sz w:val="16"/>
        </w:rPr>
        <w:t xml:space="preserve">k </w:t>
      </w:r>
      <w:r>
        <w:rPr>
          <w:sz w:val="16"/>
        </w:rPr>
        <w:t xml:space="preserve">zobrazení </w:t>
      </w:r>
      <w:r>
        <w:rPr>
          <w:sz w:val="16"/>
        </w:rPr>
        <w:t xml:space="preserve">stavu </w:t>
      </w:r>
      <w:r>
        <w:rPr>
          <w:sz w:val="16"/>
        </w:rPr>
        <w:t>provozu/alarmu</w:t>
      </w:r>
      <w:r>
        <w:rPr>
          <w:sz w:val="16"/>
        </w:rPr>
        <w:t xml:space="preserve">. </w:t>
      </w:r>
      <w:r>
        <w:rPr>
          <w:sz w:val="16"/>
        </w:rPr>
        <w:t xml:space="preserve">Po </w:t>
      </w:r>
      <w:r>
        <w:rPr>
          <w:sz w:val="16"/>
        </w:rPr>
        <w:t xml:space="preserve">zahájení </w:t>
      </w:r>
      <w:r>
        <w:rPr>
          <w:sz w:val="16"/>
        </w:rPr>
        <w:t xml:space="preserve">infuze </w:t>
      </w:r>
      <w:r>
        <w:rPr>
          <w:sz w:val="16"/>
        </w:rPr>
        <w:t xml:space="preserve">bliká </w:t>
      </w:r>
      <w:r>
        <w:rPr>
          <w:sz w:val="16"/>
        </w:rPr>
        <w:t xml:space="preserve">zelená </w:t>
      </w:r>
      <w:r>
        <w:rPr>
          <w:sz w:val="16"/>
        </w:rPr>
        <w:t>kontrolka</w:t>
      </w:r>
      <w:r>
        <w:rPr>
          <w:sz w:val="16"/>
        </w:rPr>
        <w:t xml:space="preserve">, </w:t>
      </w:r>
      <w:r>
        <w:rPr>
          <w:sz w:val="16"/>
        </w:rPr>
        <w:t>která signalizuje, že injekce probíhá.</w:t>
      </w:r>
    </w:p>
    <w:p>
      <w:pPr>
        <w:pStyle w:val="BodyText"/>
        <w:spacing w:before="133"/>
        <w:ind w:left="719"/>
      </w:pPr>
      <w:r>
        <w:rPr>
          <w:sz w:val="16"/>
        </w:rPr>
        <w:t xml:space="preserve">Pokud </w:t>
      </w:r>
      <w:r>
        <w:rPr>
          <w:sz w:val="16"/>
        </w:rPr>
        <w:t>dojde k</w:t>
      </w:r>
      <w:r>
        <w:rPr>
          <w:sz w:val="16"/>
        </w:rPr>
        <w:t xml:space="preserve"> </w:t>
      </w:r>
      <w:r>
        <w:rPr>
          <w:sz w:val="16"/>
        </w:rPr>
        <w:t xml:space="preserve">alarmu </w:t>
      </w:r>
      <w:r>
        <w:rPr>
          <w:sz w:val="16"/>
        </w:rPr>
        <w:t>s vysokou prioritou</w:t>
      </w:r>
      <w:r>
        <w:rPr>
          <w:sz w:val="16"/>
        </w:rPr>
        <w:t xml:space="preserve">, </w:t>
      </w:r>
      <w:r>
        <w:rPr>
          <w:spacing w:val="-2"/>
          <w:sz w:val="16"/>
        </w:rPr>
        <w:t xml:space="preserve">bliká </w:t>
      </w:r>
      <w:r>
        <w:rPr>
          <w:sz w:val="16"/>
        </w:rPr>
        <w:t xml:space="preserve">červená </w:t>
      </w:r>
      <w:r>
        <w:rPr>
          <w:sz w:val="16"/>
        </w:rPr>
        <w:t>kontrolka</w:t>
      </w:r>
      <w:r>
        <w:rPr>
          <w:spacing w:val="-2"/>
          <w:sz w:val="16"/>
        </w:rPr>
        <w:t>.</w:t>
      </w:r>
    </w:p>
    <w:p>
      <w:pPr>
        <w:pStyle w:val="BodyText"/>
        <w:spacing w:before="129"/>
        <w:ind w:left="719"/>
      </w:pPr>
      <w:r>
        <w:rPr>
          <w:sz w:val="16"/>
        </w:rPr>
        <w:t xml:space="preserve">Pokud </w:t>
      </w:r>
      <w:r>
        <w:rPr>
          <w:sz w:val="16"/>
        </w:rPr>
        <w:t>dojde k</w:t>
      </w:r>
      <w:r>
        <w:rPr>
          <w:sz w:val="16"/>
        </w:rPr>
        <w:t xml:space="preserve"> </w:t>
      </w:r>
      <w:r>
        <w:rPr>
          <w:sz w:val="16"/>
        </w:rPr>
        <w:t xml:space="preserve">alarmu </w:t>
      </w:r>
      <w:r>
        <w:rPr>
          <w:sz w:val="16"/>
        </w:rPr>
        <w:t xml:space="preserve">s </w:t>
      </w:r>
      <w:r>
        <w:rPr>
          <w:sz w:val="16"/>
        </w:rPr>
        <w:t xml:space="preserve">nízkou </w:t>
      </w:r>
      <w:r>
        <w:rPr>
          <w:sz w:val="16"/>
        </w:rPr>
        <w:t>prioritou</w:t>
      </w:r>
      <w:r>
        <w:rPr>
          <w:sz w:val="16"/>
        </w:rPr>
        <w:t xml:space="preserve">, </w:t>
      </w:r>
      <w:r>
        <w:rPr>
          <w:sz w:val="16"/>
        </w:rPr>
        <w:t xml:space="preserve">bude </w:t>
      </w:r>
      <w:r>
        <w:rPr>
          <w:spacing w:val="-5"/>
          <w:sz w:val="16"/>
        </w:rPr>
        <w:t xml:space="preserve">svítit </w:t>
      </w:r>
      <w:r>
        <w:rPr>
          <w:sz w:val="16"/>
        </w:rPr>
        <w:t xml:space="preserve">žlutá </w:t>
      </w:r>
      <w:r>
        <w:rPr>
          <w:sz w:val="16"/>
        </w:rPr>
        <w:t>kontrolka</w:t>
      </w:r>
      <w:r>
        <w:rPr>
          <w:spacing w:val="-5"/>
          <w:sz w:val="16"/>
        </w:rPr>
        <w:t>.</w:t>
      </w:r>
    </w:p>
    <w:p>
      <w:pPr>
        <w:pStyle w:val="BodyText"/>
        <w:spacing w:after="0"/>
        <w:sectPr>
          <w:pgSz w:w="8390" w:h="11910"/>
          <w:pgMar w:top="640" w:right="425" w:bottom="540" w:left="425" w:header="0" w:footer="342"/>
          <w:cols w:space="708"/>
        </w:sectPr>
      </w:pPr>
    </w:p>
    <w:p>
      <w:pPr>
        <w:pStyle w:val="Heading1"/>
        <w:numPr>
          <w:ilvl w:val="1"/>
          <w:numId w:val="1"/>
        </w:numPr>
        <w:tabs>
          <w:tab w:val="left" w:pos="593"/>
        </w:tabs>
        <w:spacing w:before="72" w:after="0" w:line="240" w:lineRule="auto"/>
        <w:ind w:left="593" w:right="0" w:hanging="298"/>
        <w:jc w:val="left"/>
      </w:pPr>
      <w:bookmarkStart w:id="44" w:name="6.2 Control Panel"/>
      <w:bookmarkEnd w:id="44"/>
      <w:bookmarkStart w:id="45" w:name="_bookmark22"/>
      <w:bookmarkEnd w:id="45"/>
      <w:r>
        <w:rPr>
          <w:sz w:val="18"/>
        </w:rPr>
        <w:t xml:space="preserve">Ovládací </w:t>
      </w:r>
      <w:r>
        <w:rPr>
          <w:spacing w:val="-2"/>
          <w:sz w:val="18"/>
        </w:rPr>
        <w:t>panel</w:t>
      </w:r>
    </w:p>
    <w:p>
      <w:pPr>
        <w:pStyle w:val="BodyText"/>
        <w:spacing w:before="2"/>
        <w:ind w:left="0"/>
        <w:rPr>
          <w:b/>
          <w:sz w:val="6"/>
        </w:rPr>
      </w:pPr>
      <w:r>
        <w:rPr>
          <w:b/>
          <w:sz w:val="6"/>
        </w:rPr>
        <w:drawing>
          <wp:anchor distT="0" distB="0" distL="0" distR="0" simplePos="0" relativeHeight="251680768" behindDoc="1" locked="0" layoutInCell="1" allowOverlap="1">
            <wp:simplePos x="0" y="0"/>
            <wp:positionH relativeFrom="page">
              <wp:posOffset>458723</wp:posOffset>
            </wp:positionH>
            <wp:positionV relativeFrom="paragraph">
              <wp:posOffset>60337</wp:posOffset>
            </wp:positionV>
            <wp:extent cx="4324458" cy="1609344"/>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xmlns:r="http://schemas.openxmlformats.org/officeDocument/2006/relationships" r:embed="rId10" cstate="print"/>
                    <a:stretch>
                      <a:fillRect/>
                    </a:stretch>
                  </pic:blipFill>
                  <pic:spPr>
                    <a:xfrm>
                      <a:off x="0" y="0"/>
                      <a:ext cx="4324458" cy="1609344"/>
                    </a:xfrm>
                    <a:prstGeom prst="rect">
                      <a:avLst/>
                    </a:prstGeom>
                  </pic:spPr>
                </pic:pic>
              </a:graphicData>
            </a:graphic>
          </wp:anchor>
        </w:drawing>
      </w:r>
    </w:p>
    <w:p>
      <w:pPr>
        <w:pStyle w:val="BodyText"/>
        <w:spacing w:before="5"/>
        <w:ind w:left="0"/>
        <w:rPr>
          <w:b/>
          <w:sz w:val="12"/>
        </w:rPr>
      </w:pPr>
    </w:p>
    <w:tbl>
      <w:tblPr>
        <w:tblStyle w:val="TableNormal"/>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6"/>
        <w:gridCol w:w="5908"/>
      </w:tblGrid>
      <w:tr>
        <w:tblPrEx>
          <w:tblW w:w="0" w:type="auto"/>
          <w:tblInd w:w="128" w:type="dxa"/>
          <w:tblLayout w:type="fixed"/>
          <w:tblLook w:val="01E0"/>
        </w:tblPrEx>
        <w:trPr>
          <w:trHeight w:val="363"/>
        </w:trPr>
        <w:tc>
          <w:tcPr>
            <w:tcW w:w="1386" w:type="dxa"/>
            <w:shd w:val="clear" w:color="auto" w:fill="99CCFF"/>
          </w:tcPr>
          <w:p>
            <w:pPr>
              <w:pStyle w:val="TableParagraph"/>
              <w:spacing w:before="85"/>
              <w:ind w:left="10"/>
              <w:jc w:val="center"/>
              <w:rPr>
                <w:sz w:val="18"/>
              </w:rPr>
            </w:pPr>
            <w:r>
              <w:rPr>
                <w:spacing w:val="-2"/>
                <w:sz w:val="16"/>
              </w:rPr>
              <w:t>Popis</w:t>
            </w:r>
          </w:p>
        </w:tc>
        <w:tc>
          <w:tcPr>
            <w:tcW w:w="5908" w:type="dxa"/>
            <w:shd w:val="clear" w:color="auto" w:fill="99CCFF"/>
          </w:tcPr>
          <w:p>
            <w:pPr>
              <w:pStyle w:val="TableParagraph"/>
              <w:spacing w:before="85"/>
              <w:ind w:left="9"/>
              <w:jc w:val="center"/>
              <w:rPr>
                <w:sz w:val="18"/>
              </w:rPr>
            </w:pPr>
            <w:r>
              <w:rPr>
                <w:spacing w:val="-2"/>
                <w:sz w:val="16"/>
              </w:rPr>
              <w:t>Funkce</w:t>
            </w:r>
          </w:p>
        </w:tc>
      </w:tr>
      <w:tr>
        <w:tblPrEx>
          <w:tblW w:w="0" w:type="auto"/>
          <w:tblInd w:w="128" w:type="dxa"/>
          <w:tblLayout w:type="fixed"/>
          <w:tblLook w:val="01E0"/>
        </w:tblPrEx>
        <w:trPr>
          <w:trHeight w:val="3008"/>
        </w:trPr>
        <w:tc>
          <w:tcPr>
            <w:tcW w:w="138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66"/>
              <w:rPr>
                <w:b/>
                <w:sz w:val="18"/>
              </w:rPr>
            </w:pPr>
          </w:p>
          <w:p>
            <w:pPr>
              <w:pStyle w:val="TableParagraph"/>
              <w:ind w:left="10" w:right="5"/>
              <w:jc w:val="center"/>
              <w:rPr>
                <w:sz w:val="18"/>
              </w:rPr>
            </w:pPr>
            <w:r>
              <w:rPr>
                <w:spacing w:val="-5"/>
                <w:sz w:val="16"/>
              </w:rPr>
              <w:t xml:space="preserve">Tlačítko </w:t>
            </w:r>
            <w:r>
              <w:rPr>
                <w:sz w:val="16"/>
              </w:rPr>
              <w:t>Bolus</w:t>
            </w:r>
          </w:p>
        </w:tc>
        <w:tc>
          <w:tcPr>
            <w:tcW w:w="5908" w:type="dxa"/>
          </w:tcPr>
          <w:p>
            <w:pPr>
              <w:pStyle w:val="TableParagraph"/>
              <w:numPr>
                <w:ilvl w:val="0"/>
                <w:numId w:val="35"/>
              </w:numPr>
              <w:tabs>
                <w:tab w:val="left" w:pos="299"/>
              </w:tabs>
              <w:spacing w:before="76" w:after="0" w:line="266" w:lineRule="auto"/>
              <w:ind w:left="84" w:right="72" w:firstLine="0"/>
              <w:jc w:val="both"/>
              <w:rPr>
                <w:sz w:val="18"/>
              </w:rPr>
            </w:pPr>
            <w:r>
              <w:rPr>
                <w:sz w:val="16"/>
              </w:rPr>
              <w:t xml:space="preserve">Před zahájením injekce stisknutím tohoto tlačítka spustíte proces proplachování vzduchem. Pokud je přednastavená hodnota proplachování vzduchem nastavena na 0, jedná se o ruční proplachování, které se zastaví uvolněním tlačítka; pokud přednastavená hodnota proplachování vzduchem není 0, jedná se o </w:t>
            </w:r>
            <w:r>
              <w:rPr>
                <w:sz w:val="16"/>
              </w:rPr>
              <w:t>automatické proplachování, které se automaticky zastaví, jakmile nahromaděný objem dosáhne přednastaveného objemu proplachování vzduchem.</w:t>
            </w:r>
          </w:p>
          <w:p>
            <w:pPr>
              <w:pStyle w:val="TableParagraph"/>
              <w:numPr>
                <w:ilvl w:val="0"/>
                <w:numId w:val="35"/>
              </w:numPr>
              <w:tabs>
                <w:tab w:val="left" w:pos="275"/>
              </w:tabs>
              <w:spacing w:before="63" w:after="0" w:line="266" w:lineRule="auto"/>
              <w:ind w:left="84" w:right="74" w:firstLine="0"/>
              <w:jc w:val="both"/>
              <w:rPr>
                <w:sz w:val="18"/>
              </w:rPr>
            </w:pPr>
            <w:r>
              <w:rPr>
                <w:sz w:val="16"/>
              </w:rPr>
              <w:t>Během procesu injekce stisknutím tohoto tlačítka můžete nastavit rychlost bolusu. Přednastavte objem a čas.</w:t>
            </w:r>
          </w:p>
          <w:p>
            <w:pPr>
              <w:pStyle w:val="TableParagraph"/>
              <w:spacing w:before="64" w:line="266" w:lineRule="auto"/>
              <w:ind w:left="84" w:right="72"/>
              <w:jc w:val="both"/>
              <w:rPr>
                <w:sz w:val="18"/>
              </w:rPr>
            </w:pPr>
            <w:r>
              <w:rPr>
                <w:sz w:val="16"/>
              </w:rPr>
              <w:t>Po nastavení můžete zvolit automatický nebo manuální bolus. Podle výzvy stiskněte jednou tlačítko „6“ pro spuštění automatické rychlé injekce nebo podržte tlačítko pro rychlý posun pro manuální rychlou injekci (přednastavený objem lze zrušit). Uvolněním tlačítka se rychlá injekce ukončí a injekce pokračuje původní rychlostí.</w:t>
            </w:r>
          </w:p>
        </w:tc>
      </w:tr>
      <w:tr>
        <w:tblPrEx>
          <w:tblW w:w="0" w:type="auto"/>
          <w:tblInd w:w="128" w:type="dxa"/>
          <w:tblLayout w:type="fixed"/>
          <w:tblLook w:val="01E0"/>
        </w:tblPrEx>
        <w:trPr>
          <w:trHeight w:val="583"/>
        </w:trPr>
        <w:tc>
          <w:tcPr>
            <w:tcW w:w="1386" w:type="dxa"/>
          </w:tcPr>
          <w:p>
            <w:pPr>
              <w:pStyle w:val="TableParagraph"/>
              <w:spacing w:before="194"/>
              <w:ind w:left="10" w:right="3"/>
              <w:jc w:val="center"/>
              <w:rPr>
                <w:sz w:val="18"/>
              </w:rPr>
            </w:pPr>
            <w:r>
              <w:rPr>
                <w:spacing w:val="-5"/>
                <w:sz w:val="16"/>
              </w:rPr>
              <w:t xml:space="preserve">Tlačítko </w:t>
            </w:r>
            <w:r>
              <w:rPr>
                <w:sz w:val="16"/>
              </w:rPr>
              <w:t>Start/Stop</w:t>
            </w:r>
          </w:p>
        </w:tc>
        <w:tc>
          <w:tcPr>
            <w:tcW w:w="5908" w:type="dxa"/>
          </w:tcPr>
          <w:p>
            <w:pPr>
              <w:pStyle w:val="TableParagraph"/>
              <w:spacing w:before="77" w:line="266" w:lineRule="auto"/>
              <w:ind w:left="84"/>
              <w:rPr>
                <w:sz w:val="18"/>
              </w:rPr>
            </w:pPr>
            <w:r>
              <w:rPr>
                <w:sz w:val="16"/>
              </w:rPr>
              <w:t xml:space="preserve">V </w:t>
            </w:r>
            <w:r>
              <w:rPr>
                <w:sz w:val="16"/>
              </w:rPr>
              <w:t xml:space="preserve">zastaveném </w:t>
            </w:r>
            <w:r>
              <w:rPr>
                <w:sz w:val="16"/>
              </w:rPr>
              <w:t xml:space="preserve">stavu </w:t>
            </w:r>
            <w:r>
              <w:rPr>
                <w:sz w:val="16"/>
              </w:rPr>
              <w:t xml:space="preserve">stiskněte </w:t>
            </w:r>
            <w:r>
              <w:rPr>
                <w:sz w:val="16"/>
              </w:rPr>
              <w:t xml:space="preserve">toto </w:t>
            </w:r>
            <w:r>
              <w:rPr>
                <w:sz w:val="16"/>
              </w:rPr>
              <w:t xml:space="preserve">tlačítko </w:t>
            </w:r>
            <w:r>
              <w:rPr>
                <w:sz w:val="16"/>
              </w:rPr>
              <w:t xml:space="preserve">pro </w:t>
            </w:r>
            <w:r>
              <w:rPr>
                <w:sz w:val="16"/>
              </w:rPr>
              <w:t xml:space="preserve">spuštění </w:t>
            </w:r>
            <w:r>
              <w:rPr>
                <w:sz w:val="16"/>
              </w:rPr>
              <w:t xml:space="preserve">injekce </w:t>
            </w:r>
            <w:r>
              <w:rPr>
                <w:sz w:val="16"/>
              </w:rPr>
              <w:t xml:space="preserve">po </w:t>
            </w:r>
            <w:r>
              <w:rPr>
                <w:sz w:val="16"/>
              </w:rPr>
              <w:t xml:space="preserve">nastavení </w:t>
            </w:r>
            <w:r>
              <w:rPr>
                <w:sz w:val="16"/>
              </w:rPr>
              <w:t xml:space="preserve">parametrů </w:t>
            </w:r>
            <w:r>
              <w:rPr>
                <w:sz w:val="16"/>
              </w:rPr>
              <w:t>v infuzním režimu. V provozním stavu lze stisknutím tohoto tlačítka injekci zastavit.</w:t>
            </w:r>
          </w:p>
        </w:tc>
      </w:tr>
      <w:tr>
        <w:tblPrEx>
          <w:tblW w:w="0" w:type="auto"/>
          <w:tblInd w:w="128" w:type="dxa"/>
          <w:tblLayout w:type="fixed"/>
          <w:tblLook w:val="01E0"/>
        </w:tblPrEx>
        <w:trPr>
          <w:trHeight w:val="646"/>
        </w:trPr>
        <w:tc>
          <w:tcPr>
            <w:tcW w:w="1386" w:type="dxa"/>
          </w:tcPr>
          <w:p>
            <w:pPr>
              <w:pStyle w:val="TableParagraph"/>
              <w:spacing w:before="107" w:line="278" w:lineRule="auto"/>
              <w:ind w:left="99" w:right="84" w:firstLine="362"/>
              <w:rPr>
                <w:sz w:val="18"/>
              </w:rPr>
            </w:pPr>
            <w:r>
              <w:rPr>
                <w:sz w:val="16"/>
              </w:rPr>
              <w:t xml:space="preserve">Tlačítko </w:t>
            </w:r>
            <w:r>
              <w:rPr>
                <w:sz w:val="16"/>
              </w:rPr>
              <w:t>resetování/vymazání</w:t>
            </w:r>
            <w:r>
              <w:rPr>
                <w:spacing w:val="-2"/>
                <w:sz w:val="16"/>
              </w:rPr>
              <w:t xml:space="preserve"> alarmu</w:t>
            </w:r>
          </w:p>
        </w:tc>
        <w:tc>
          <w:tcPr>
            <w:tcW w:w="5908" w:type="dxa"/>
          </w:tcPr>
          <w:p>
            <w:pPr>
              <w:pStyle w:val="TableParagraph"/>
              <w:numPr>
                <w:ilvl w:val="0"/>
                <w:numId w:val="34"/>
              </w:numPr>
              <w:tabs>
                <w:tab w:val="left" w:pos="263"/>
              </w:tabs>
              <w:spacing w:before="76" w:after="0" w:line="240" w:lineRule="auto"/>
              <w:ind w:left="263" w:right="0" w:hanging="179"/>
              <w:jc w:val="left"/>
              <w:rPr>
                <w:sz w:val="18"/>
              </w:rPr>
            </w:pPr>
            <w:r>
              <w:rPr>
                <w:sz w:val="16"/>
              </w:rPr>
              <w:t xml:space="preserve">Stisknutím </w:t>
            </w:r>
            <w:r>
              <w:rPr>
                <w:sz w:val="16"/>
              </w:rPr>
              <w:t xml:space="preserve">tohoto </w:t>
            </w:r>
            <w:r>
              <w:rPr>
                <w:sz w:val="16"/>
              </w:rPr>
              <w:t xml:space="preserve">tlačítka lze </w:t>
            </w:r>
            <w:r>
              <w:rPr>
                <w:sz w:val="16"/>
              </w:rPr>
              <w:t xml:space="preserve">odstranit </w:t>
            </w:r>
            <w:r>
              <w:rPr>
                <w:spacing w:val="-2"/>
                <w:sz w:val="16"/>
              </w:rPr>
              <w:t xml:space="preserve">zobrazení </w:t>
            </w:r>
            <w:r>
              <w:rPr>
                <w:sz w:val="16"/>
              </w:rPr>
              <w:t>alarmu</w:t>
            </w:r>
            <w:r>
              <w:rPr>
                <w:spacing w:val="-2"/>
                <w:sz w:val="16"/>
              </w:rPr>
              <w:t>.</w:t>
            </w:r>
          </w:p>
          <w:p>
            <w:pPr>
              <w:pStyle w:val="TableParagraph"/>
              <w:numPr>
                <w:ilvl w:val="0"/>
                <w:numId w:val="34"/>
              </w:numPr>
              <w:tabs>
                <w:tab w:val="left" w:pos="261"/>
              </w:tabs>
              <w:spacing w:before="85" w:after="0" w:line="240" w:lineRule="auto"/>
              <w:ind w:left="261" w:right="0" w:hanging="177"/>
              <w:jc w:val="left"/>
              <w:rPr>
                <w:sz w:val="18"/>
              </w:rPr>
            </w:pPr>
            <w:r>
              <w:rPr>
                <w:sz w:val="16"/>
              </w:rPr>
              <w:t xml:space="preserve">Tlačítko </w:t>
            </w:r>
            <w:r>
              <w:rPr>
                <w:sz w:val="16"/>
              </w:rPr>
              <w:t xml:space="preserve">Clear </w:t>
            </w:r>
            <w:r>
              <w:rPr>
                <w:sz w:val="16"/>
              </w:rPr>
              <w:t xml:space="preserve">je </w:t>
            </w:r>
            <w:r>
              <w:rPr>
                <w:sz w:val="16"/>
              </w:rPr>
              <w:t xml:space="preserve">účinné </w:t>
            </w:r>
            <w:r>
              <w:rPr>
                <w:sz w:val="16"/>
              </w:rPr>
              <w:t xml:space="preserve">v </w:t>
            </w:r>
            <w:r>
              <w:rPr>
                <w:spacing w:val="-2"/>
                <w:sz w:val="16"/>
              </w:rPr>
              <w:t xml:space="preserve">režimu </w:t>
            </w:r>
            <w:r>
              <w:rPr>
                <w:sz w:val="16"/>
              </w:rPr>
              <w:t>numerického zadávání</w:t>
            </w:r>
            <w:r>
              <w:rPr>
                <w:spacing w:val="-2"/>
                <w:sz w:val="16"/>
              </w:rPr>
              <w:t>.</w:t>
            </w:r>
          </w:p>
        </w:tc>
      </w:tr>
      <w:tr>
        <w:tblPrEx>
          <w:tblW w:w="0" w:type="auto"/>
          <w:tblInd w:w="128" w:type="dxa"/>
          <w:tblLayout w:type="fixed"/>
          <w:tblLook w:val="01E0"/>
        </w:tblPrEx>
        <w:trPr>
          <w:trHeight w:val="583"/>
        </w:trPr>
        <w:tc>
          <w:tcPr>
            <w:tcW w:w="1386" w:type="dxa"/>
          </w:tcPr>
          <w:p>
            <w:pPr>
              <w:pStyle w:val="TableParagraph"/>
              <w:spacing w:before="195"/>
              <w:ind w:left="10" w:right="5"/>
              <w:jc w:val="center"/>
              <w:rPr>
                <w:sz w:val="18"/>
              </w:rPr>
            </w:pPr>
            <w:r>
              <w:rPr>
                <w:spacing w:val="-5"/>
                <w:sz w:val="16"/>
              </w:rPr>
              <w:t xml:space="preserve">Tlačítko </w:t>
            </w:r>
            <w:r>
              <w:rPr>
                <w:sz w:val="16"/>
              </w:rPr>
              <w:t>OK</w:t>
            </w:r>
          </w:p>
        </w:tc>
        <w:tc>
          <w:tcPr>
            <w:tcW w:w="5908" w:type="dxa"/>
          </w:tcPr>
          <w:p>
            <w:pPr>
              <w:pStyle w:val="TableParagraph"/>
              <w:spacing w:before="77" w:line="266" w:lineRule="auto"/>
              <w:ind w:left="84"/>
              <w:rPr>
                <w:sz w:val="18"/>
              </w:rPr>
            </w:pPr>
            <w:r>
              <w:rPr>
                <w:sz w:val="16"/>
              </w:rPr>
              <w:t>S</w:t>
            </w:r>
            <w:r>
              <w:rPr>
                <w:sz w:val="16"/>
              </w:rPr>
              <w:t>lou</w:t>
            </w:r>
            <w:r>
              <w:rPr>
                <w:sz w:val="16"/>
              </w:rPr>
              <w:t xml:space="preserve">ží </w:t>
            </w:r>
            <w:r>
              <w:rPr>
                <w:sz w:val="16"/>
              </w:rPr>
              <w:t xml:space="preserve">k </w:t>
            </w:r>
            <w:r>
              <w:rPr>
                <w:sz w:val="16"/>
              </w:rPr>
              <w:t xml:space="preserve">nastavení </w:t>
            </w:r>
            <w:r>
              <w:rPr>
                <w:sz w:val="16"/>
              </w:rPr>
              <w:t xml:space="preserve">různých </w:t>
            </w:r>
            <w:r>
              <w:rPr>
                <w:sz w:val="16"/>
              </w:rPr>
              <w:t xml:space="preserve">parametrů </w:t>
            </w:r>
            <w:r>
              <w:rPr>
                <w:sz w:val="16"/>
              </w:rPr>
              <w:t xml:space="preserve">nebo </w:t>
            </w:r>
            <w:r>
              <w:rPr>
                <w:sz w:val="16"/>
              </w:rPr>
              <w:t xml:space="preserve">k </w:t>
            </w:r>
            <w:r>
              <w:rPr>
                <w:sz w:val="16"/>
              </w:rPr>
              <w:t xml:space="preserve">uložení </w:t>
            </w:r>
            <w:r>
              <w:rPr>
                <w:sz w:val="16"/>
              </w:rPr>
              <w:t xml:space="preserve">nastavených </w:t>
            </w:r>
            <w:r>
              <w:rPr>
                <w:spacing w:val="-2"/>
                <w:sz w:val="16"/>
              </w:rPr>
              <w:t>parametrů.</w:t>
            </w:r>
          </w:p>
        </w:tc>
      </w:tr>
      <w:tr>
        <w:tblPrEx>
          <w:tblW w:w="0" w:type="auto"/>
          <w:tblInd w:w="128" w:type="dxa"/>
          <w:tblLayout w:type="fixed"/>
          <w:tblLook w:val="01E0"/>
        </w:tblPrEx>
        <w:trPr>
          <w:trHeight w:val="2086"/>
        </w:trPr>
        <w:tc>
          <w:tcPr>
            <w:tcW w:w="1386" w:type="dxa"/>
          </w:tcPr>
          <w:p>
            <w:pPr>
              <w:pStyle w:val="TableParagraph"/>
              <w:rPr>
                <w:b/>
                <w:sz w:val="18"/>
              </w:rPr>
            </w:pPr>
          </w:p>
          <w:p>
            <w:pPr>
              <w:pStyle w:val="TableParagraph"/>
              <w:rPr>
                <w:b/>
                <w:sz w:val="18"/>
              </w:rPr>
            </w:pPr>
          </w:p>
          <w:p>
            <w:pPr>
              <w:pStyle w:val="TableParagraph"/>
              <w:spacing w:before="86"/>
              <w:rPr>
                <w:b/>
                <w:sz w:val="18"/>
              </w:rPr>
            </w:pPr>
          </w:p>
          <w:p>
            <w:pPr>
              <w:pStyle w:val="TableParagraph"/>
              <w:ind w:left="188"/>
              <w:rPr>
                <w:sz w:val="18"/>
              </w:rPr>
            </w:pPr>
            <w:r>
              <w:rPr>
                <w:sz w:val="16"/>
              </w:rPr>
              <w:t xml:space="preserve">Zvuk </w:t>
            </w:r>
            <w:r>
              <w:rPr>
                <w:spacing w:val="-2"/>
                <w:sz w:val="16"/>
              </w:rPr>
              <w:t>pozastaven</w:t>
            </w:r>
          </w:p>
          <w:p>
            <w:pPr>
              <w:pStyle w:val="TableParagraph"/>
              <w:spacing w:before="33" w:line="278" w:lineRule="auto"/>
              <w:ind w:left="543" w:right="84" w:hanging="420"/>
              <w:rPr>
                <w:sz w:val="18"/>
              </w:rPr>
            </w:pPr>
            <w:r>
              <w:rPr>
                <w:spacing w:val="-4"/>
                <w:sz w:val="16"/>
              </w:rPr>
              <w:t>/Potvrzení</w:t>
            </w:r>
          </w:p>
        </w:tc>
        <w:tc>
          <w:tcPr>
            <w:tcW w:w="5908" w:type="dxa"/>
          </w:tcPr>
          <w:p>
            <w:pPr>
              <w:pStyle w:val="TableParagraph"/>
              <w:numPr>
                <w:ilvl w:val="0"/>
                <w:numId w:val="33"/>
              </w:numPr>
              <w:tabs>
                <w:tab w:val="left" w:pos="266"/>
              </w:tabs>
              <w:spacing w:before="76" w:after="0" w:line="240" w:lineRule="auto"/>
              <w:ind w:left="266" w:right="0" w:hanging="182"/>
              <w:jc w:val="both"/>
              <w:rPr>
                <w:sz w:val="18"/>
              </w:rPr>
            </w:pPr>
            <w:r>
              <w:rPr>
                <w:sz w:val="16"/>
              </w:rPr>
              <w:t xml:space="preserve">Při </w:t>
            </w:r>
            <w:r>
              <w:rPr>
                <w:sz w:val="16"/>
              </w:rPr>
              <w:t xml:space="preserve">spuštění </w:t>
            </w:r>
            <w:r>
              <w:rPr>
                <w:sz w:val="16"/>
              </w:rPr>
              <w:t xml:space="preserve">alarmu </w:t>
            </w:r>
            <w:r>
              <w:rPr>
                <w:sz w:val="16"/>
              </w:rPr>
              <w:t xml:space="preserve">stiskněte </w:t>
            </w:r>
            <w:r>
              <w:rPr>
                <w:sz w:val="16"/>
              </w:rPr>
              <w:t xml:space="preserve">tlačítko </w:t>
            </w:r>
            <w:r>
              <w:rPr>
                <w:sz w:val="16"/>
              </w:rPr>
              <w:t xml:space="preserve">a </w:t>
            </w:r>
            <w:r>
              <w:rPr>
                <w:sz w:val="16"/>
              </w:rPr>
              <w:t xml:space="preserve">zařízení </w:t>
            </w:r>
            <w:r>
              <w:rPr>
                <w:sz w:val="16"/>
              </w:rPr>
              <w:t xml:space="preserve">přejde </w:t>
            </w:r>
            <w:r>
              <w:rPr>
                <w:sz w:val="16"/>
              </w:rPr>
              <w:t xml:space="preserve">do </w:t>
            </w:r>
            <w:r>
              <w:rPr>
                <w:spacing w:val="-2"/>
                <w:sz w:val="16"/>
              </w:rPr>
              <w:t>stavu</w:t>
            </w:r>
          </w:p>
          <w:p>
            <w:pPr>
              <w:pStyle w:val="TableParagraph"/>
              <w:spacing w:before="62" w:line="184" w:lineRule="auto"/>
              <w:ind w:left="84" w:right="72"/>
              <w:jc w:val="both"/>
              <w:rPr>
                <w:rFonts w:ascii="Noto Sans CJK JP" w:eastAsia="Noto Sans CJK JP"/>
                <w:sz w:val="18"/>
              </w:rPr>
            </w:pPr>
            <w:r>
              <w:rPr>
                <w:sz w:val="16"/>
              </w:rPr>
              <w:t>ticha. Dalším stisknutím tlačítka přejde do potvrzeného stavu, dalším stisknutím se vrátí do stavu ticha, a tak dále</w:t>
            </w:r>
            <w:r>
              <w:rPr>
                <w:rFonts w:ascii="Noto Sans CJK JP" w:eastAsia="Noto Sans CJK JP"/>
                <w:sz w:val="16"/>
              </w:rPr>
              <w:t>.</w:t>
            </w:r>
          </w:p>
          <w:p>
            <w:pPr>
              <w:pStyle w:val="TableParagraph"/>
              <w:numPr>
                <w:ilvl w:val="0"/>
                <w:numId w:val="33"/>
              </w:numPr>
              <w:tabs>
                <w:tab w:val="left" w:pos="263"/>
              </w:tabs>
              <w:spacing w:before="45" w:after="0" w:line="264" w:lineRule="auto"/>
              <w:ind w:left="84" w:right="69" w:firstLine="0"/>
              <w:jc w:val="both"/>
              <w:rPr>
                <w:sz w:val="18"/>
              </w:rPr>
            </w:pPr>
            <w:r>
              <w:rPr>
                <w:sz w:val="16"/>
              </w:rPr>
              <w:t xml:space="preserve">Když </w:t>
            </w:r>
            <w:r>
              <w:rPr>
                <w:sz w:val="16"/>
              </w:rPr>
              <w:t xml:space="preserve">je </w:t>
            </w:r>
            <w:r>
              <w:rPr>
                <w:sz w:val="16"/>
              </w:rPr>
              <w:t xml:space="preserve">zvuk </w:t>
            </w:r>
            <w:r>
              <w:rPr>
                <w:sz w:val="16"/>
              </w:rPr>
              <w:t xml:space="preserve">ztlumena, opustí se </w:t>
            </w:r>
            <w:r>
              <w:rPr>
                <w:sz w:val="16"/>
              </w:rPr>
              <w:t xml:space="preserve">stav ztlumení </w:t>
            </w:r>
            <w:r>
              <w:rPr>
                <w:sz w:val="16"/>
              </w:rPr>
              <w:t>po</w:t>
            </w:r>
            <w:r>
              <w:rPr>
                <w:sz w:val="16"/>
              </w:rPr>
              <w:t xml:space="preserve"> 1 minutě a</w:t>
            </w:r>
            <w:r>
              <w:rPr>
                <w:sz w:val="16"/>
              </w:rPr>
              <w:t xml:space="preserve"> 45 </w:t>
            </w:r>
            <w:r>
              <w:rPr>
                <w:sz w:val="16"/>
              </w:rPr>
              <w:t>sekundách</w:t>
            </w:r>
            <w:r>
              <w:rPr>
                <w:sz w:val="16"/>
              </w:rPr>
              <w:t>. Pokud se spustí nový alarm, opustí se stav ztlumení předem.</w:t>
            </w:r>
          </w:p>
          <w:p>
            <w:pPr>
              <w:pStyle w:val="TableParagraph"/>
              <w:numPr>
                <w:ilvl w:val="0"/>
                <w:numId w:val="33"/>
              </w:numPr>
              <w:tabs>
                <w:tab w:val="left" w:pos="275"/>
              </w:tabs>
              <w:spacing w:before="65" w:after="0" w:line="266" w:lineRule="auto"/>
              <w:ind w:left="84" w:right="72" w:firstLine="0"/>
              <w:jc w:val="both"/>
              <w:rPr>
                <w:sz w:val="18"/>
              </w:rPr>
            </w:pPr>
            <w:r>
              <w:rPr>
                <w:sz w:val="16"/>
              </w:rPr>
              <w:t xml:space="preserve">V potvrzeném stavu se každých 5 minut ozve zvukový signál, nový alarm nemá vliv na potvrzený alarm a vysoký alarm nelze </w:t>
            </w:r>
            <w:r>
              <w:rPr>
                <w:spacing w:val="-2"/>
                <w:sz w:val="16"/>
              </w:rPr>
              <w:t>potvrdit.</w:t>
            </w:r>
          </w:p>
        </w:tc>
      </w:tr>
    </w:tbl>
    <w:p>
      <w:pPr>
        <w:pStyle w:val="TableParagraph"/>
        <w:spacing w:after="0" w:line="266" w:lineRule="auto"/>
        <w:jc w:val="both"/>
        <w:rPr>
          <w:sz w:val="18"/>
        </w:rPr>
        <w:sectPr>
          <w:pgSz w:w="8390" w:h="11910"/>
          <w:pgMar w:top="640" w:right="425" w:bottom="540" w:left="425" w:header="0" w:footer="342"/>
          <w:cols w:space="708"/>
        </w:sectPr>
      </w:pPr>
    </w:p>
    <w:tbl>
      <w:tblPr>
        <w:tblStyle w:val="TableNormal"/>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6"/>
        <w:gridCol w:w="5908"/>
      </w:tblGrid>
      <w:tr>
        <w:tblPrEx>
          <w:tblW w:w="0" w:type="auto"/>
          <w:tblInd w:w="128" w:type="dxa"/>
          <w:tblLayout w:type="fixed"/>
          <w:tblLook w:val="01E0"/>
        </w:tblPrEx>
        <w:trPr>
          <w:trHeight w:val="1445"/>
        </w:trPr>
        <w:tc>
          <w:tcPr>
            <w:tcW w:w="1386" w:type="dxa"/>
          </w:tcPr>
          <w:p>
            <w:pPr>
              <w:pStyle w:val="TableParagraph"/>
              <w:rPr>
                <w:b/>
                <w:sz w:val="18"/>
              </w:rPr>
            </w:pPr>
          </w:p>
          <w:p>
            <w:pPr>
              <w:pStyle w:val="TableParagraph"/>
              <w:rPr>
                <w:b/>
                <w:sz w:val="18"/>
              </w:rPr>
            </w:pPr>
          </w:p>
          <w:p>
            <w:pPr>
              <w:pStyle w:val="TableParagraph"/>
              <w:spacing w:before="1"/>
              <w:rPr>
                <w:b/>
                <w:sz w:val="18"/>
              </w:rPr>
            </w:pPr>
          </w:p>
          <w:p>
            <w:pPr>
              <w:pStyle w:val="TableParagraph"/>
              <w:ind w:left="289"/>
              <w:rPr>
                <w:sz w:val="18"/>
              </w:rPr>
            </w:pPr>
            <w:r>
              <w:rPr>
                <w:spacing w:val="-5"/>
                <w:sz w:val="16"/>
              </w:rPr>
              <w:t xml:space="preserve">Tlačítko </w:t>
            </w:r>
            <w:r>
              <w:rPr>
                <w:sz w:val="16"/>
              </w:rPr>
              <w:t>napájení</w:t>
            </w:r>
          </w:p>
        </w:tc>
        <w:tc>
          <w:tcPr>
            <w:tcW w:w="5908" w:type="dxa"/>
          </w:tcPr>
          <w:p>
            <w:pPr>
              <w:pStyle w:val="TableParagraph"/>
              <w:spacing w:before="101"/>
              <w:ind w:left="84"/>
              <w:rPr>
                <w:sz w:val="18"/>
              </w:rPr>
            </w:pPr>
            <w:r>
              <w:rPr>
                <w:sz w:val="16"/>
              </w:rPr>
              <w:t xml:space="preserve">Pro </w:t>
            </w:r>
            <w:r>
              <w:rPr>
                <w:spacing w:val="-2"/>
                <w:sz w:val="16"/>
              </w:rPr>
              <w:t xml:space="preserve">zapnutí/vypnutí </w:t>
            </w:r>
            <w:r>
              <w:rPr>
                <w:sz w:val="16"/>
              </w:rPr>
              <w:t xml:space="preserve">injekční </w:t>
            </w:r>
            <w:r>
              <w:rPr>
                <w:sz w:val="16"/>
              </w:rPr>
              <w:t>pumpy</w:t>
            </w:r>
            <w:r>
              <w:rPr>
                <w:spacing w:val="-2"/>
                <w:sz w:val="16"/>
              </w:rPr>
              <w:t>.</w:t>
            </w:r>
          </w:p>
          <w:p>
            <w:pPr>
              <w:pStyle w:val="TableParagraph"/>
              <w:numPr>
                <w:ilvl w:val="0"/>
                <w:numId w:val="32"/>
              </w:numPr>
              <w:tabs>
                <w:tab w:val="left" w:pos="266"/>
              </w:tabs>
              <w:spacing w:before="84" w:after="0" w:line="266" w:lineRule="auto"/>
              <w:ind w:left="84" w:right="72" w:firstLine="0"/>
              <w:jc w:val="left"/>
              <w:rPr>
                <w:sz w:val="18"/>
              </w:rPr>
            </w:pPr>
            <w:r>
              <w:rPr>
                <w:sz w:val="16"/>
              </w:rPr>
              <w:t xml:space="preserve">V </w:t>
            </w:r>
            <w:r>
              <w:rPr>
                <w:sz w:val="16"/>
              </w:rPr>
              <w:t xml:space="preserve">vypnutém stavu stiskněte </w:t>
            </w:r>
            <w:r>
              <w:rPr>
                <w:sz w:val="16"/>
              </w:rPr>
              <w:t xml:space="preserve">toto </w:t>
            </w:r>
            <w:r>
              <w:rPr>
                <w:sz w:val="16"/>
              </w:rPr>
              <w:t>tlačítko</w:t>
            </w:r>
            <w:r>
              <w:rPr>
                <w:sz w:val="16"/>
              </w:rPr>
              <w:t>,</w:t>
            </w:r>
            <w:r>
              <w:rPr>
                <w:sz w:val="16"/>
              </w:rPr>
              <w:t xml:space="preserve"> dokud </w:t>
            </w:r>
            <w:r>
              <w:rPr>
                <w:sz w:val="16"/>
              </w:rPr>
              <w:t>se na displeji nezobrazí</w:t>
            </w:r>
            <w:r>
              <w:rPr>
                <w:sz w:val="16"/>
              </w:rPr>
              <w:t xml:space="preserve">, že </w:t>
            </w:r>
            <w:r>
              <w:rPr>
                <w:sz w:val="16"/>
              </w:rPr>
              <w:t>je čerpadlo zapnuté a svítí kontrolka napájení.</w:t>
            </w:r>
          </w:p>
          <w:p>
            <w:pPr>
              <w:pStyle w:val="TableParagraph"/>
              <w:numPr>
                <w:ilvl w:val="0"/>
                <w:numId w:val="32"/>
              </w:numPr>
              <w:tabs>
                <w:tab w:val="left" w:pos="280"/>
              </w:tabs>
              <w:spacing w:before="63" w:after="0" w:line="266" w:lineRule="auto"/>
              <w:ind w:left="84" w:right="77" w:firstLine="0"/>
              <w:jc w:val="left"/>
              <w:rPr>
                <w:sz w:val="18"/>
              </w:rPr>
            </w:pPr>
            <w:r>
              <w:rPr>
                <w:sz w:val="16"/>
              </w:rPr>
              <w:t xml:space="preserve">Když čerpadlo přestane pracovat nebo během alarmu, stiskněte a podržte toto tlačítko, </w:t>
            </w:r>
            <w:r>
              <w:rPr>
                <w:sz w:val="16"/>
              </w:rPr>
              <w:t xml:space="preserve">dokud </w:t>
            </w:r>
            <w:r>
              <w:rPr>
                <w:sz w:val="16"/>
              </w:rPr>
              <w:t>se</w:t>
            </w:r>
            <w:r>
              <w:rPr>
                <w:sz w:val="16"/>
              </w:rPr>
              <w:t xml:space="preserve"> </w:t>
            </w:r>
            <w:r>
              <w:rPr>
                <w:sz w:val="16"/>
              </w:rPr>
              <w:t xml:space="preserve">čerpadlo </w:t>
            </w:r>
            <w:r>
              <w:rPr>
                <w:sz w:val="16"/>
              </w:rPr>
              <w:t xml:space="preserve">zcela </w:t>
            </w:r>
            <w:r>
              <w:rPr>
                <w:sz w:val="16"/>
              </w:rPr>
              <w:t xml:space="preserve">nevypne </w:t>
            </w:r>
            <w:r>
              <w:rPr>
                <w:sz w:val="16"/>
              </w:rPr>
              <w:t xml:space="preserve">a </w:t>
            </w:r>
            <w:r>
              <w:rPr>
                <w:sz w:val="16"/>
              </w:rPr>
              <w:t>kontrolka</w:t>
            </w:r>
            <w:r>
              <w:rPr>
                <w:sz w:val="16"/>
              </w:rPr>
              <w:t xml:space="preserve"> napájení </w:t>
            </w:r>
            <w:r>
              <w:rPr>
                <w:sz w:val="16"/>
              </w:rPr>
              <w:t>nezhasne.</w:t>
            </w:r>
          </w:p>
        </w:tc>
      </w:tr>
      <w:tr>
        <w:tblPrEx>
          <w:tblW w:w="0" w:type="auto"/>
          <w:tblInd w:w="128" w:type="dxa"/>
          <w:tblLayout w:type="fixed"/>
          <w:tblLook w:val="01E0"/>
        </w:tblPrEx>
        <w:trPr>
          <w:trHeight w:val="645"/>
        </w:trPr>
        <w:tc>
          <w:tcPr>
            <w:tcW w:w="1386" w:type="dxa"/>
          </w:tcPr>
          <w:p>
            <w:pPr>
              <w:pStyle w:val="TableParagraph"/>
              <w:spacing w:before="108"/>
              <w:ind w:left="10" w:right="4"/>
              <w:jc w:val="center"/>
              <w:rPr>
                <w:sz w:val="18"/>
              </w:rPr>
            </w:pPr>
            <w:r>
              <w:rPr>
                <w:spacing w:val="-2"/>
                <w:sz w:val="16"/>
              </w:rPr>
              <w:t>AC/DC</w:t>
            </w:r>
          </w:p>
          <w:p>
            <w:pPr>
              <w:pStyle w:val="TableParagraph"/>
              <w:spacing w:before="23"/>
              <w:ind w:left="10" w:right="2"/>
              <w:jc w:val="center"/>
              <w:rPr>
                <w:sz w:val="18"/>
              </w:rPr>
            </w:pPr>
            <w:r>
              <w:rPr>
                <w:sz w:val="16"/>
              </w:rPr>
              <w:t>Kontrol</w:t>
            </w:r>
            <w:r>
              <w:rPr>
                <w:spacing w:val="-2"/>
                <w:sz w:val="16"/>
              </w:rPr>
              <w:t>ka</w:t>
            </w:r>
          </w:p>
        </w:tc>
        <w:tc>
          <w:tcPr>
            <w:tcW w:w="5908" w:type="dxa"/>
          </w:tcPr>
          <w:p>
            <w:pPr>
              <w:pStyle w:val="TableParagraph"/>
              <w:spacing w:before="11" w:line="292" w:lineRule="exact"/>
              <w:ind w:left="84" w:right="1236"/>
              <w:rPr>
                <w:sz w:val="18"/>
              </w:rPr>
            </w:pPr>
            <w:r>
              <w:rPr>
                <w:sz w:val="16"/>
              </w:rPr>
              <w:t xml:space="preserve">Rozsvítí </w:t>
            </w:r>
            <w:r>
              <w:rPr>
                <w:sz w:val="16"/>
              </w:rPr>
              <w:t xml:space="preserve">se, </w:t>
            </w:r>
            <w:r>
              <w:rPr>
                <w:sz w:val="16"/>
              </w:rPr>
              <w:t xml:space="preserve">pokud </w:t>
            </w:r>
            <w:r>
              <w:rPr>
                <w:sz w:val="16"/>
              </w:rPr>
              <w:t xml:space="preserve">je </w:t>
            </w:r>
            <w:r>
              <w:rPr>
                <w:sz w:val="16"/>
              </w:rPr>
              <w:t xml:space="preserve">k dispozici </w:t>
            </w:r>
            <w:r>
              <w:rPr>
                <w:sz w:val="16"/>
              </w:rPr>
              <w:t>napájení ze sítě</w:t>
            </w:r>
            <w:r>
              <w:rPr>
                <w:sz w:val="16"/>
              </w:rPr>
              <w:t xml:space="preserve"> AC/DC</w:t>
            </w:r>
            <w:r>
              <w:rPr>
                <w:sz w:val="16"/>
              </w:rPr>
              <w:t>; zhasne, pokud není k dispozici napájení ze sítě AC/DC.</w:t>
            </w:r>
          </w:p>
        </w:tc>
      </w:tr>
      <w:tr>
        <w:tblPrEx>
          <w:tblW w:w="0" w:type="auto"/>
          <w:tblInd w:w="128" w:type="dxa"/>
          <w:tblLayout w:type="fixed"/>
          <w:tblLook w:val="01E0"/>
        </w:tblPrEx>
        <w:trPr>
          <w:trHeight w:val="584"/>
        </w:trPr>
        <w:tc>
          <w:tcPr>
            <w:tcW w:w="1386" w:type="dxa"/>
          </w:tcPr>
          <w:p>
            <w:pPr>
              <w:pStyle w:val="TableParagraph"/>
              <w:spacing w:before="78" w:line="266" w:lineRule="auto"/>
              <w:ind w:left="150" w:right="133" w:firstLine="208"/>
              <w:rPr>
                <w:sz w:val="18"/>
              </w:rPr>
            </w:pPr>
            <w:r>
              <w:rPr>
                <w:sz w:val="16"/>
              </w:rPr>
              <w:t>Kontrolka</w:t>
            </w:r>
            <w:r>
              <w:rPr>
                <w:spacing w:val="-2"/>
                <w:sz w:val="16"/>
              </w:rPr>
              <w:t xml:space="preserve"> nabíjení</w:t>
            </w:r>
          </w:p>
        </w:tc>
        <w:tc>
          <w:tcPr>
            <w:tcW w:w="5908" w:type="dxa"/>
          </w:tcPr>
          <w:p>
            <w:pPr>
              <w:pStyle w:val="TableParagraph"/>
              <w:spacing w:before="78" w:line="266" w:lineRule="auto"/>
              <w:ind w:left="84" w:right="85"/>
              <w:rPr>
                <w:sz w:val="18"/>
              </w:rPr>
            </w:pPr>
            <w:r>
              <w:rPr>
                <w:sz w:val="16"/>
              </w:rPr>
              <w:t xml:space="preserve">Svítí, pokud se baterie nabíjí; zhasne, pokud se nenabíjí </w:t>
            </w:r>
            <w:r>
              <w:rPr>
                <w:sz w:val="16"/>
              </w:rPr>
              <w:t>nebo je plně nabitá.</w:t>
            </w:r>
          </w:p>
        </w:tc>
      </w:tr>
      <w:tr>
        <w:tblPrEx>
          <w:tblW w:w="0" w:type="auto"/>
          <w:tblInd w:w="128" w:type="dxa"/>
          <w:tblLayout w:type="fixed"/>
          <w:tblLook w:val="01E0"/>
        </w:tblPrEx>
        <w:trPr>
          <w:trHeight w:val="645"/>
        </w:trPr>
        <w:tc>
          <w:tcPr>
            <w:tcW w:w="1386" w:type="dxa"/>
          </w:tcPr>
          <w:p>
            <w:pPr>
              <w:pStyle w:val="TableParagraph"/>
              <w:spacing w:before="108" w:line="266" w:lineRule="auto"/>
              <w:ind w:left="274" w:right="189" w:hanging="70"/>
              <w:rPr>
                <w:sz w:val="18"/>
              </w:rPr>
            </w:pPr>
            <w:r>
              <w:rPr>
                <w:sz w:val="16"/>
              </w:rPr>
              <w:t xml:space="preserve">Číselná </w:t>
            </w:r>
            <w:r>
              <w:rPr>
                <w:sz w:val="16"/>
              </w:rPr>
              <w:t>klávesa 8/Posun nahoru</w:t>
            </w:r>
          </w:p>
        </w:tc>
        <w:tc>
          <w:tcPr>
            <w:tcW w:w="5908" w:type="dxa"/>
          </w:tcPr>
          <w:p>
            <w:pPr>
              <w:pStyle w:val="TableParagraph"/>
              <w:numPr>
                <w:ilvl w:val="0"/>
                <w:numId w:val="31"/>
              </w:numPr>
              <w:tabs>
                <w:tab w:val="left" w:pos="263"/>
              </w:tabs>
              <w:spacing w:before="77" w:after="0" w:line="240" w:lineRule="auto"/>
              <w:ind w:left="263" w:right="0" w:hanging="179"/>
              <w:jc w:val="left"/>
              <w:rPr>
                <w:sz w:val="18"/>
              </w:rPr>
            </w:pPr>
            <w:r>
              <w:rPr>
                <w:sz w:val="16"/>
              </w:rPr>
              <w:t xml:space="preserve">V </w:t>
            </w:r>
            <w:r>
              <w:rPr>
                <w:sz w:val="16"/>
              </w:rPr>
              <w:t xml:space="preserve">režimu </w:t>
            </w:r>
            <w:r>
              <w:rPr>
                <w:sz w:val="16"/>
              </w:rPr>
              <w:t xml:space="preserve">numerického </w:t>
            </w:r>
            <w:r>
              <w:rPr>
                <w:sz w:val="16"/>
              </w:rPr>
              <w:t xml:space="preserve">zadávání </w:t>
            </w:r>
            <w:r>
              <w:rPr>
                <w:sz w:val="16"/>
              </w:rPr>
              <w:t xml:space="preserve">slouží </w:t>
            </w:r>
            <w:r>
              <w:rPr>
                <w:sz w:val="16"/>
              </w:rPr>
              <w:t xml:space="preserve">jako </w:t>
            </w:r>
            <w:r>
              <w:rPr>
                <w:sz w:val="16"/>
              </w:rPr>
              <w:t>číslice</w:t>
            </w:r>
            <w:r>
              <w:rPr>
                <w:spacing w:val="-5"/>
                <w:sz w:val="16"/>
              </w:rPr>
              <w:t xml:space="preserve"> 8.</w:t>
            </w:r>
          </w:p>
          <w:p>
            <w:pPr>
              <w:pStyle w:val="TableParagraph"/>
              <w:numPr>
                <w:ilvl w:val="0"/>
                <w:numId w:val="31"/>
              </w:numPr>
              <w:tabs>
                <w:tab w:val="left" w:pos="263"/>
              </w:tabs>
              <w:spacing w:before="86" w:after="0" w:line="240" w:lineRule="auto"/>
              <w:ind w:left="263" w:right="0" w:hanging="179"/>
              <w:jc w:val="left"/>
              <w:rPr>
                <w:sz w:val="18"/>
              </w:rPr>
            </w:pPr>
            <w:r>
              <w:rPr>
                <w:sz w:val="16"/>
              </w:rPr>
              <w:t xml:space="preserve">V </w:t>
            </w:r>
            <w:r>
              <w:rPr>
                <w:sz w:val="16"/>
              </w:rPr>
              <w:t xml:space="preserve">režimu výběru </w:t>
            </w:r>
            <w:r>
              <w:rPr>
                <w:sz w:val="16"/>
              </w:rPr>
              <w:t xml:space="preserve">nabídky </w:t>
            </w:r>
            <w:r>
              <w:rPr>
                <w:sz w:val="16"/>
              </w:rPr>
              <w:t xml:space="preserve">stisknutím </w:t>
            </w:r>
            <w:r>
              <w:rPr>
                <w:sz w:val="16"/>
              </w:rPr>
              <w:t xml:space="preserve">této </w:t>
            </w:r>
            <w:r>
              <w:rPr>
                <w:sz w:val="16"/>
              </w:rPr>
              <w:t xml:space="preserve">klávesy </w:t>
            </w:r>
            <w:r>
              <w:rPr>
                <w:sz w:val="16"/>
              </w:rPr>
              <w:t xml:space="preserve">posunete </w:t>
            </w:r>
            <w:r>
              <w:rPr>
                <w:spacing w:val="-5"/>
                <w:sz w:val="16"/>
              </w:rPr>
              <w:t>nahoru.</w:t>
            </w:r>
          </w:p>
        </w:tc>
      </w:tr>
      <w:tr>
        <w:tblPrEx>
          <w:tblW w:w="0" w:type="auto"/>
          <w:tblInd w:w="128" w:type="dxa"/>
          <w:tblLayout w:type="fixed"/>
          <w:tblLook w:val="01E0"/>
        </w:tblPrEx>
        <w:trPr>
          <w:trHeight w:val="646"/>
        </w:trPr>
        <w:tc>
          <w:tcPr>
            <w:tcW w:w="1386" w:type="dxa"/>
          </w:tcPr>
          <w:p>
            <w:pPr>
              <w:pStyle w:val="TableParagraph"/>
              <w:spacing w:before="110" w:line="264" w:lineRule="auto"/>
              <w:ind w:left="164" w:right="84" w:firstLine="40"/>
              <w:rPr>
                <w:sz w:val="18"/>
              </w:rPr>
            </w:pPr>
            <w:r>
              <w:rPr>
                <w:sz w:val="16"/>
              </w:rPr>
              <w:t>Číselná klávesa</w:t>
            </w:r>
            <w:r>
              <w:rPr>
                <w:spacing w:val="-2"/>
                <w:sz w:val="16"/>
              </w:rPr>
              <w:t xml:space="preserve"> 9/Posun </w:t>
            </w:r>
            <w:r>
              <w:rPr>
                <w:sz w:val="16"/>
              </w:rPr>
              <w:t>dolů</w:t>
            </w:r>
          </w:p>
        </w:tc>
        <w:tc>
          <w:tcPr>
            <w:tcW w:w="5908" w:type="dxa"/>
          </w:tcPr>
          <w:p>
            <w:pPr>
              <w:pStyle w:val="TableParagraph"/>
              <w:numPr>
                <w:ilvl w:val="0"/>
                <w:numId w:val="30"/>
              </w:numPr>
              <w:tabs>
                <w:tab w:val="left" w:pos="263"/>
              </w:tabs>
              <w:spacing w:before="79" w:after="0" w:line="240" w:lineRule="auto"/>
              <w:ind w:left="263" w:right="0" w:hanging="179"/>
              <w:jc w:val="left"/>
              <w:rPr>
                <w:sz w:val="18"/>
              </w:rPr>
            </w:pPr>
            <w:r>
              <w:rPr>
                <w:sz w:val="16"/>
              </w:rPr>
              <w:t xml:space="preserve">V </w:t>
            </w:r>
            <w:r>
              <w:rPr>
                <w:sz w:val="16"/>
              </w:rPr>
              <w:t xml:space="preserve">režimu </w:t>
            </w:r>
            <w:r>
              <w:rPr>
                <w:sz w:val="16"/>
              </w:rPr>
              <w:t xml:space="preserve">numerického </w:t>
            </w:r>
            <w:r>
              <w:rPr>
                <w:sz w:val="16"/>
              </w:rPr>
              <w:t xml:space="preserve">zadávání </w:t>
            </w:r>
            <w:r>
              <w:rPr>
                <w:sz w:val="16"/>
              </w:rPr>
              <w:t xml:space="preserve">slouží </w:t>
            </w:r>
            <w:r>
              <w:rPr>
                <w:sz w:val="16"/>
              </w:rPr>
              <w:t xml:space="preserve">jako </w:t>
            </w:r>
            <w:r>
              <w:rPr>
                <w:sz w:val="16"/>
              </w:rPr>
              <w:t>číslice</w:t>
            </w:r>
            <w:r>
              <w:rPr>
                <w:spacing w:val="-5"/>
                <w:sz w:val="16"/>
              </w:rPr>
              <w:t xml:space="preserve"> 9.</w:t>
            </w:r>
          </w:p>
          <w:p>
            <w:pPr>
              <w:pStyle w:val="TableParagraph"/>
              <w:numPr>
                <w:ilvl w:val="0"/>
                <w:numId w:val="30"/>
              </w:numPr>
              <w:tabs>
                <w:tab w:val="left" w:pos="263"/>
              </w:tabs>
              <w:spacing w:before="83" w:after="0" w:line="240" w:lineRule="auto"/>
              <w:ind w:left="263" w:right="0" w:hanging="179"/>
              <w:jc w:val="left"/>
              <w:rPr>
                <w:sz w:val="18"/>
              </w:rPr>
            </w:pPr>
            <w:r>
              <w:rPr>
                <w:sz w:val="16"/>
              </w:rPr>
              <w:t xml:space="preserve">V </w:t>
            </w:r>
            <w:r>
              <w:rPr>
                <w:sz w:val="16"/>
              </w:rPr>
              <w:t xml:space="preserve">režimu výběru </w:t>
            </w:r>
            <w:r>
              <w:rPr>
                <w:sz w:val="16"/>
              </w:rPr>
              <w:t xml:space="preserve">nabídky </w:t>
            </w:r>
            <w:r>
              <w:rPr>
                <w:sz w:val="16"/>
              </w:rPr>
              <w:t xml:space="preserve">stisknutím </w:t>
            </w:r>
            <w:r>
              <w:rPr>
                <w:sz w:val="16"/>
              </w:rPr>
              <w:t xml:space="preserve">této </w:t>
            </w:r>
            <w:r>
              <w:rPr>
                <w:sz w:val="16"/>
              </w:rPr>
              <w:t xml:space="preserve">klávesy </w:t>
            </w:r>
            <w:r>
              <w:rPr>
                <w:sz w:val="16"/>
              </w:rPr>
              <w:t xml:space="preserve">posunete </w:t>
            </w:r>
            <w:r>
              <w:rPr>
                <w:spacing w:val="-4"/>
                <w:sz w:val="16"/>
              </w:rPr>
              <w:t>dolů.</w:t>
            </w:r>
          </w:p>
        </w:tc>
      </w:tr>
      <w:tr>
        <w:tblPrEx>
          <w:tblW w:w="0" w:type="auto"/>
          <w:tblInd w:w="128" w:type="dxa"/>
          <w:tblLayout w:type="fixed"/>
          <w:tblLook w:val="01E0"/>
        </w:tblPrEx>
        <w:trPr>
          <w:trHeight w:val="875"/>
        </w:trPr>
        <w:tc>
          <w:tcPr>
            <w:tcW w:w="1386" w:type="dxa"/>
          </w:tcPr>
          <w:p>
            <w:pPr>
              <w:pStyle w:val="TableParagraph"/>
              <w:spacing w:before="17"/>
              <w:rPr>
                <w:b/>
                <w:sz w:val="18"/>
              </w:rPr>
            </w:pPr>
          </w:p>
          <w:p>
            <w:pPr>
              <w:pStyle w:val="TableParagraph"/>
              <w:spacing w:line="266" w:lineRule="auto"/>
              <w:ind w:left="118" w:right="105" w:firstLine="268"/>
              <w:rPr>
                <w:sz w:val="18"/>
              </w:rPr>
            </w:pPr>
            <w:r>
              <w:rPr>
                <w:spacing w:val="-2"/>
                <w:sz w:val="16"/>
              </w:rPr>
              <w:t>Deset</w:t>
            </w:r>
            <w:r>
              <w:rPr>
                <w:sz w:val="16"/>
              </w:rPr>
              <w:t>inn</w:t>
            </w:r>
            <w:r>
              <w:rPr>
                <w:spacing w:val="-2"/>
                <w:sz w:val="16"/>
              </w:rPr>
              <w:t xml:space="preserve">á </w:t>
            </w:r>
            <w:r>
              <w:rPr>
                <w:sz w:val="16"/>
              </w:rPr>
              <w:t>čárka/Zpět</w:t>
            </w:r>
          </w:p>
        </w:tc>
        <w:tc>
          <w:tcPr>
            <w:tcW w:w="5908" w:type="dxa"/>
          </w:tcPr>
          <w:p>
            <w:pPr>
              <w:pStyle w:val="TableParagraph"/>
              <w:numPr>
                <w:ilvl w:val="0"/>
                <w:numId w:val="29"/>
              </w:numPr>
              <w:tabs>
                <w:tab w:val="left" w:pos="263"/>
              </w:tabs>
              <w:spacing w:before="78" w:after="0" w:line="240" w:lineRule="auto"/>
              <w:ind w:left="263" w:right="0" w:hanging="179"/>
              <w:jc w:val="left"/>
              <w:rPr>
                <w:sz w:val="18"/>
              </w:rPr>
            </w:pPr>
            <w:r>
              <w:rPr>
                <w:sz w:val="16"/>
              </w:rPr>
              <w:t xml:space="preserve">V </w:t>
            </w:r>
            <w:r>
              <w:rPr>
                <w:spacing w:val="-2"/>
                <w:sz w:val="16"/>
              </w:rPr>
              <w:t xml:space="preserve">režimu </w:t>
            </w:r>
            <w:r>
              <w:rPr>
                <w:sz w:val="16"/>
              </w:rPr>
              <w:t xml:space="preserve">zadávání </w:t>
            </w:r>
            <w:r>
              <w:rPr>
                <w:sz w:val="16"/>
              </w:rPr>
              <w:t xml:space="preserve">čísel </w:t>
            </w:r>
            <w:r>
              <w:rPr>
                <w:sz w:val="16"/>
              </w:rPr>
              <w:t xml:space="preserve">slouží </w:t>
            </w:r>
            <w:r>
              <w:rPr>
                <w:sz w:val="16"/>
              </w:rPr>
              <w:t xml:space="preserve">jako </w:t>
            </w:r>
            <w:r>
              <w:rPr>
                <w:sz w:val="16"/>
              </w:rPr>
              <w:t xml:space="preserve">klávesa </w:t>
            </w:r>
            <w:r>
              <w:rPr>
                <w:sz w:val="16"/>
              </w:rPr>
              <w:t>desetinné čárky</w:t>
            </w:r>
            <w:r>
              <w:rPr>
                <w:spacing w:val="-2"/>
                <w:sz w:val="16"/>
              </w:rPr>
              <w:t>.</w:t>
            </w:r>
          </w:p>
          <w:p>
            <w:pPr>
              <w:pStyle w:val="TableParagraph"/>
              <w:numPr>
                <w:ilvl w:val="0"/>
                <w:numId w:val="29"/>
              </w:numPr>
              <w:tabs>
                <w:tab w:val="left" w:pos="290"/>
              </w:tabs>
              <w:spacing w:before="86" w:after="0" w:line="264" w:lineRule="auto"/>
              <w:ind w:left="84" w:right="74" w:firstLine="0"/>
              <w:jc w:val="left"/>
              <w:rPr>
                <w:sz w:val="18"/>
              </w:rPr>
            </w:pPr>
            <w:r>
              <w:rPr>
                <w:sz w:val="16"/>
              </w:rPr>
              <w:t xml:space="preserve">V </w:t>
            </w:r>
            <w:r>
              <w:rPr>
                <w:sz w:val="16"/>
              </w:rPr>
              <w:t xml:space="preserve">režimu </w:t>
            </w:r>
            <w:r>
              <w:rPr>
                <w:sz w:val="16"/>
              </w:rPr>
              <w:t xml:space="preserve">výběru </w:t>
            </w:r>
            <w:r>
              <w:rPr>
                <w:sz w:val="16"/>
              </w:rPr>
              <w:t xml:space="preserve">nabídky </w:t>
            </w:r>
            <w:r>
              <w:rPr>
                <w:sz w:val="16"/>
              </w:rPr>
              <w:t xml:space="preserve">stisknutím </w:t>
            </w:r>
            <w:r>
              <w:rPr>
                <w:sz w:val="16"/>
              </w:rPr>
              <w:t xml:space="preserve">této klávesy </w:t>
            </w:r>
            <w:r>
              <w:rPr>
                <w:sz w:val="16"/>
              </w:rPr>
              <w:t xml:space="preserve">přejdete zpět </w:t>
            </w:r>
            <w:r>
              <w:rPr>
                <w:sz w:val="16"/>
              </w:rPr>
              <w:t xml:space="preserve">na </w:t>
            </w:r>
            <w:r>
              <w:rPr>
                <w:sz w:val="16"/>
              </w:rPr>
              <w:t xml:space="preserve">předchozí ovládací </w:t>
            </w:r>
            <w:r>
              <w:rPr>
                <w:spacing w:val="-2"/>
                <w:sz w:val="16"/>
              </w:rPr>
              <w:t>rozhraní.</w:t>
            </w:r>
          </w:p>
        </w:tc>
      </w:tr>
    </w:tbl>
    <w:p>
      <w:pPr>
        <w:pStyle w:val="BodyText"/>
        <w:spacing w:before="99"/>
        <w:ind w:left="0"/>
        <w:rPr>
          <w:b/>
          <w:sz w:val="20"/>
        </w:rPr>
      </w:pPr>
    </w:p>
    <w:p>
      <w:pPr>
        <w:pStyle w:val="Heading1"/>
        <w:numPr>
          <w:ilvl w:val="1"/>
          <w:numId w:val="1"/>
        </w:numPr>
        <w:tabs>
          <w:tab w:val="left" w:pos="593"/>
        </w:tabs>
        <w:spacing w:before="0" w:after="0" w:line="240" w:lineRule="auto"/>
        <w:ind w:left="593" w:right="0" w:hanging="298"/>
        <w:jc w:val="left"/>
      </w:pPr>
      <w:bookmarkStart w:id="46" w:name="6.3 Screen Display"/>
      <w:bookmarkEnd w:id="46"/>
      <w:bookmarkStart w:id="47" w:name="_bookmark23"/>
      <w:bookmarkEnd w:id="47"/>
      <w:r>
        <w:rPr>
          <w:spacing w:val="-2"/>
          <w:sz w:val="18"/>
        </w:rPr>
        <w:t xml:space="preserve">Zobrazení </w:t>
      </w:r>
      <w:r>
        <w:rPr>
          <w:sz w:val="18"/>
        </w:rPr>
        <w:t>na obrazovce</w:t>
      </w:r>
    </w:p>
    <w:p>
      <w:pPr>
        <w:pStyle w:val="BodyText"/>
        <w:spacing w:before="11"/>
        <w:ind w:left="0"/>
        <w:rPr>
          <w:b/>
          <w:sz w:val="5"/>
        </w:rPr>
      </w:pPr>
      <w:r>
        <w:rPr>
          <w:b/>
          <w:sz w:val="5"/>
        </w:rPr>
        <w:drawing>
          <wp:anchor distT="0" distB="0" distL="0" distR="0" simplePos="0" relativeHeight="251681792" behindDoc="1" locked="0" layoutInCell="1" allowOverlap="1">
            <wp:simplePos x="0" y="0"/>
            <wp:positionH relativeFrom="page">
              <wp:posOffset>1524000</wp:posOffset>
            </wp:positionH>
            <wp:positionV relativeFrom="paragraph">
              <wp:posOffset>58952</wp:posOffset>
            </wp:positionV>
            <wp:extent cx="1912531" cy="1455324"/>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xmlns:r="http://schemas.openxmlformats.org/officeDocument/2006/relationships" r:embed="rId11" cstate="print"/>
                    <a:stretch>
                      <a:fillRect/>
                    </a:stretch>
                  </pic:blipFill>
                  <pic:spPr>
                    <a:xfrm>
                      <a:off x="0" y="0"/>
                      <a:ext cx="1912531" cy="1455324"/>
                    </a:xfrm>
                    <a:prstGeom prst="rect">
                      <a:avLst/>
                    </a:prstGeom>
                  </pic:spPr>
                </pic:pic>
              </a:graphicData>
            </a:graphic>
          </wp:anchor>
        </w:drawing>
      </w:r>
    </w:p>
    <w:p>
      <w:pPr>
        <w:pStyle w:val="BodyText"/>
        <w:spacing w:before="181"/>
      </w:pPr>
      <w:r>
        <w:rPr>
          <w:sz w:val="16"/>
        </w:rPr>
        <w:t xml:space="preserve">Hlavní </w:t>
      </w:r>
      <w:r>
        <w:rPr>
          <w:spacing w:val="-4"/>
          <w:sz w:val="16"/>
        </w:rPr>
        <w:t>menu</w:t>
      </w:r>
    </w:p>
    <w:p>
      <w:pPr>
        <w:pStyle w:val="ListParagraph"/>
        <w:numPr>
          <w:ilvl w:val="0"/>
          <w:numId w:val="28"/>
        </w:numPr>
        <w:tabs>
          <w:tab w:val="left" w:pos="548"/>
        </w:tabs>
        <w:spacing w:before="189" w:after="0" w:line="240" w:lineRule="auto"/>
        <w:ind w:left="548" w:right="0" w:hanging="253"/>
        <w:jc w:val="left"/>
        <w:rPr>
          <w:sz w:val="18"/>
        </w:rPr>
      </w:pPr>
      <w:r>
        <w:rPr>
          <w:sz w:val="16"/>
        </w:rPr>
        <w:t xml:space="preserve">Režim </w:t>
      </w:r>
      <w:r>
        <w:rPr>
          <w:sz w:val="16"/>
        </w:rPr>
        <w:t>injekční stříkačky</w:t>
      </w:r>
      <w:r>
        <w:rPr>
          <w:sz w:val="16"/>
        </w:rPr>
        <w:t xml:space="preserve">: </w:t>
      </w:r>
      <w:r>
        <w:rPr>
          <w:sz w:val="16"/>
        </w:rPr>
        <w:t xml:space="preserve">Umožňuje </w:t>
      </w:r>
      <w:r>
        <w:rPr>
          <w:sz w:val="16"/>
        </w:rPr>
        <w:t xml:space="preserve">výběr </w:t>
      </w:r>
      <w:r>
        <w:rPr>
          <w:spacing w:val="-4"/>
          <w:sz w:val="16"/>
        </w:rPr>
        <w:t xml:space="preserve">režimu </w:t>
      </w:r>
      <w:r>
        <w:rPr>
          <w:sz w:val="16"/>
        </w:rPr>
        <w:t>injekce</w:t>
      </w:r>
      <w:r>
        <w:rPr>
          <w:spacing w:val="-4"/>
          <w:sz w:val="16"/>
        </w:rPr>
        <w:t>.</w:t>
      </w:r>
    </w:p>
    <w:p>
      <w:pPr>
        <w:pStyle w:val="ListParagraph"/>
        <w:numPr>
          <w:ilvl w:val="0"/>
          <w:numId w:val="28"/>
        </w:numPr>
        <w:tabs>
          <w:tab w:val="left" w:pos="548"/>
        </w:tabs>
        <w:spacing w:before="189" w:after="0" w:line="240" w:lineRule="auto"/>
        <w:ind w:left="548" w:right="0" w:hanging="253"/>
        <w:jc w:val="left"/>
        <w:rPr>
          <w:sz w:val="18"/>
        </w:rPr>
      </w:pPr>
      <w:r>
        <w:rPr>
          <w:sz w:val="16"/>
        </w:rPr>
        <w:t xml:space="preserve">Nastavení </w:t>
      </w:r>
      <w:r>
        <w:rPr>
          <w:sz w:val="16"/>
        </w:rPr>
        <w:t>systému</w:t>
      </w:r>
      <w:r>
        <w:rPr>
          <w:sz w:val="16"/>
        </w:rPr>
        <w:t xml:space="preserve">: </w:t>
      </w:r>
      <w:r>
        <w:rPr>
          <w:sz w:val="16"/>
        </w:rPr>
        <w:t xml:space="preserve">Umožňuje </w:t>
      </w:r>
      <w:r>
        <w:rPr>
          <w:sz w:val="16"/>
        </w:rPr>
        <w:t xml:space="preserve">nastavení </w:t>
      </w:r>
      <w:r>
        <w:rPr>
          <w:spacing w:val="-2"/>
          <w:sz w:val="16"/>
        </w:rPr>
        <w:t>parametrů</w:t>
      </w:r>
      <w:r>
        <w:rPr>
          <w:sz w:val="16"/>
        </w:rPr>
        <w:t xml:space="preserve"> systému</w:t>
      </w:r>
      <w:r>
        <w:rPr>
          <w:spacing w:val="-2"/>
          <w:sz w:val="16"/>
        </w:rPr>
        <w:t>.</w:t>
      </w:r>
    </w:p>
    <w:p>
      <w:pPr>
        <w:pStyle w:val="BodyText"/>
        <w:spacing w:before="75"/>
        <w:ind w:left="0"/>
      </w:pPr>
    </w:p>
    <w:p>
      <w:pPr>
        <w:pStyle w:val="BodyText"/>
        <w:spacing w:before="0"/>
      </w:pPr>
      <w:r>
        <w:rPr>
          <w:spacing w:val="40"/>
          <w:sz w:val="16"/>
        </w:rPr>
        <w:t xml:space="preserve">Ikona </w:t>
      </w:r>
      <w:r>
        <w:rPr>
          <w:sz w:val="16"/>
        </w:rPr>
        <w:t xml:space="preserve">indikátoru stavu baterie </w:t>
      </w:r>
      <w:r>
        <w:drawing>
          <wp:inline distT="0" distB="0" distL="0" distR="0">
            <wp:extent cx="309372" cy="97536"/>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xmlns:r="http://schemas.openxmlformats.org/officeDocument/2006/relationships" r:embed="rId12" cstate="print"/>
                    <a:stretch>
                      <a:fillRect/>
                    </a:stretch>
                  </pic:blipFill>
                  <pic:spPr>
                    <a:xfrm>
                      <a:off x="0" y="0"/>
                      <a:ext cx="309372" cy="97536"/>
                    </a:xfrm>
                    <a:prstGeom prst="rect">
                      <a:avLst/>
                    </a:prstGeom>
                  </pic:spPr>
                </pic:pic>
              </a:graphicData>
            </a:graphic>
          </wp:inline>
        </w:drawing>
      </w:r>
    </w:p>
    <w:p>
      <w:pPr>
        <w:pStyle w:val="ListParagraph"/>
        <w:numPr>
          <w:ilvl w:val="0"/>
          <w:numId w:val="27"/>
        </w:numPr>
        <w:tabs>
          <w:tab w:val="left" w:pos="548"/>
        </w:tabs>
        <w:spacing w:before="189" w:after="0" w:line="240" w:lineRule="auto"/>
        <w:ind w:left="548" w:right="0" w:hanging="253"/>
        <w:jc w:val="left"/>
        <w:rPr>
          <w:sz w:val="18"/>
        </w:rPr>
      </w:pPr>
      <w:r>
        <w:rPr>
          <w:sz w:val="16"/>
        </w:rPr>
        <w:t xml:space="preserve">Střídavé </w:t>
      </w:r>
      <w:r>
        <w:rPr>
          <w:sz w:val="16"/>
        </w:rPr>
        <w:t xml:space="preserve">červené, </w:t>
      </w:r>
      <w:r>
        <w:rPr>
          <w:sz w:val="16"/>
        </w:rPr>
        <w:t xml:space="preserve">žluté </w:t>
      </w:r>
      <w:r>
        <w:rPr>
          <w:sz w:val="16"/>
        </w:rPr>
        <w:t xml:space="preserve">a </w:t>
      </w:r>
      <w:r>
        <w:rPr>
          <w:sz w:val="16"/>
        </w:rPr>
        <w:t xml:space="preserve">zelené </w:t>
      </w:r>
      <w:r>
        <w:rPr>
          <w:sz w:val="16"/>
        </w:rPr>
        <w:t xml:space="preserve">vlny </w:t>
      </w:r>
      <w:r>
        <w:rPr>
          <w:sz w:val="16"/>
        </w:rPr>
        <w:t>signalizují</w:t>
      </w:r>
      <w:r>
        <w:rPr>
          <w:sz w:val="16"/>
        </w:rPr>
        <w:t xml:space="preserve">, že </w:t>
      </w:r>
      <w:r>
        <w:rPr>
          <w:sz w:val="16"/>
        </w:rPr>
        <w:t>se</w:t>
      </w:r>
      <w:r>
        <w:rPr>
          <w:sz w:val="16"/>
        </w:rPr>
        <w:t xml:space="preserve"> baterie </w:t>
      </w:r>
      <w:r>
        <w:rPr>
          <w:spacing w:val="-2"/>
          <w:sz w:val="16"/>
        </w:rPr>
        <w:t>nabíjí.</w:t>
      </w:r>
    </w:p>
    <w:p>
      <w:pPr>
        <w:pStyle w:val="ListParagraph"/>
        <w:numPr>
          <w:ilvl w:val="0"/>
          <w:numId w:val="27"/>
        </w:numPr>
        <w:tabs>
          <w:tab w:val="left" w:pos="545"/>
        </w:tabs>
        <w:spacing w:before="189" w:after="0" w:line="240" w:lineRule="auto"/>
        <w:ind w:left="545" w:right="0" w:hanging="250"/>
        <w:jc w:val="left"/>
        <w:rPr>
          <w:sz w:val="18"/>
        </w:rPr>
      </w:pPr>
      <w:r>
        <w:rPr>
          <w:sz w:val="16"/>
        </w:rPr>
        <w:t xml:space="preserve">Ikona </w:t>
      </w:r>
      <w:r>
        <w:rPr>
          <w:sz w:val="16"/>
        </w:rPr>
        <w:t xml:space="preserve">indikátoru </w:t>
      </w:r>
      <w:r>
        <w:rPr>
          <w:sz w:val="16"/>
        </w:rPr>
        <w:t xml:space="preserve">stavu </w:t>
      </w:r>
      <w:r>
        <w:rPr>
          <w:sz w:val="16"/>
        </w:rPr>
        <w:t>bater</w:t>
      </w:r>
      <w:r>
        <w:rPr>
          <w:sz w:val="16"/>
        </w:rPr>
        <w:t xml:space="preserve">ie </w:t>
      </w:r>
      <w:r>
        <w:rPr>
          <w:sz w:val="16"/>
        </w:rPr>
        <w:t xml:space="preserve">odráží </w:t>
      </w:r>
      <w:r>
        <w:rPr>
          <w:sz w:val="16"/>
        </w:rPr>
        <w:t xml:space="preserve">stav </w:t>
      </w:r>
      <w:r>
        <w:rPr>
          <w:sz w:val="16"/>
        </w:rPr>
        <w:t xml:space="preserve">zbývající </w:t>
      </w:r>
      <w:r>
        <w:rPr>
          <w:spacing w:val="-2"/>
          <w:sz w:val="16"/>
        </w:rPr>
        <w:t xml:space="preserve">energie </w:t>
      </w:r>
      <w:r>
        <w:rPr>
          <w:sz w:val="16"/>
        </w:rPr>
        <w:t>baterie</w:t>
      </w:r>
      <w:r>
        <w:rPr>
          <w:spacing w:val="-2"/>
          <w:sz w:val="16"/>
        </w:rPr>
        <w:t>.</w:t>
      </w:r>
    </w:p>
    <w:p>
      <w:pPr>
        <w:pStyle w:val="ListParagraph"/>
        <w:spacing w:after="0" w:line="240" w:lineRule="auto"/>
        <w:jc w:val="left"/>
        <w:rPr>
          <w:sz w:val="18"/>
        </w:rPr>
        <w:sectPr>
          <w:type w:val="continuous"/>
          <w:pgSz w:w="8390" w:h="11910"/>
          <w:pgMar w:top="700" w:right="425" w:bottom="540" w:left="425" w:header="0" w:footer="342"/>
          <w:cols w:space="708"/>
        </w:sectPr>
      </w:pPr>
    </w:p>
    <w:p>
      <w:pPr>
        <w:pStyle w:val="BodyText"/>
        <w:spacing w:before="86"/>
      </w:pPr>
      <w:r>
        <w:drawing>
          <wp:anchor distT="0" distB="0" distL="0" distR="0" simplePos="0" relativeHeight="251662336" behindDoc="0" locked="0" layoutInCell="1" allowOverlap="1">
            <wp:simplePos x="0" y="0"/>
            <wp:positionH relativeFrom="page">
              <wp:posOffset>1527123</wp:posOffset>
            </wp:positionH>
            <wp:positionV relativeFrom="paragraph">
              <wp:posOffset>-1100</wp:posOffset>
            </wp:positionV>
            <wp:extent cx="356540" cy="163787"/>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xmlns:r="http://schemas.openxmlformats.org/officeDocument/2006/relationships" r:embed="rId13" cstate="print"/>
                    <a:stretch>
                      <a:fillRect/>
                    </a:stretch>
                  </pic:blipFill>
                  <pic:spPr>
                    <a:xfrm>
                      <a:off x="0" y="0"/>
                      <a:ext cx="356540" cy="163787"/>
                    </a:xfrm>
                    <a:prstGeom prst="rect">
                      <a:avLst/>
                    </a:prstGeom>
                  </pic:spPr>
                </pic:pic>
              </a:graphicData>
            </a:graphic>
          </wp:anchor>
        </w:drawing>
      </w:r>
      <w:r>
        <w:rPr>
          <w:spacing w:val="-4"/>
          <w:sz w:val="16"/>
        </w:rPr>
        <w:t xml:space="preserve">Ikona </w:t>
      </w:r>
      <w:r>
        <w:rPr>
          <w:sz w:val="16"/>
        </w:rPr>
        <w:t xml:space="preserve">indikátoru </w:t>
      </w:r>
      <w:r>
        <w:rPr>
          <w:sz w:val="16"/>
        </w:rPr>
        <w:t>tlaku</w:t>
      </w:r>
    </w:p>
    <w:p>
      <w:pPr>
        <w:pStyle w:val="ListParagraph"/>
        <w:numPr>
          <w:ilvl w:val="0"/>
          <w:numId w:val="26"/>
        </w:numPr>
        <w:tabs>
          <w:tab w:val="left" w:pos="593"/>
        </w:tabs>
        <w:spacing w:before="180" w:after="0" w:line="278" w:lineRule="auto"/>
        <w:ind w:left="295" w:right="293" w:firstLine="0"/>
        <w:jc w:val="both"/>
        <w:rPr>
          <w:sz w:val="18"/>
        </w:rPr>
      </w:pPr>
      <w:r>
        <w:rPr>
          <w:sz w:val="16"/>
        </w:rPr>
        <w:t>Červená svislá čára na displeji představuje aktuální prahovou hodnotu alarmu ucpání, zatímco „1“ označuje aktuální nastavení tlaku.</w:t>
      </w:r>
    </w:p>
    <w:p>
      <w:pPr>
        <w:pStyle w:val="ListParagraph"/>
        <w:numPr>
          <w:ilvl w:val="0"/>
          <w:numId w:val="26"/>
        </w:numPr>
        <w:tabs>
          <w:tab w:val="left" w:pos="574"/>
        </w:tabs>
        <w:spacing w:before="156" w:after="0" w:line="278" w:lineRule="auto"/>
        <w:ind w:left="295" w:right="291" w:firstLine="0"/>
        <w:jc w:val="both"/>
        <w:rPr>
          <w:sz w:val="18"/>
        </w:rPr>
      </w:pPr>
      <w:r>
        <w:rPr>
          <w:sz w:val="16"/>
        </w:rPr>
        <w:t>Jak se mění tlak v infuzní hadičce, na ikoně indikátoru tlaku se objeví zelené vlny. Když zelená vlna dosáhne nebo překročí červenou svislou čáru, injekční pumpa spustí alarm ucpání.</w:t>
      </w:r>
    </w:p>
    <w:p>
      <w:pPr>
        <w:pStyle w:val="BodyText"/>
        <w:spacing w:before="42"/>
        <w:ind w:left="0"/>
      </w:pPr>
    </w:p>
    <w:p>
      <w:pPr>
        <w:pStyle w:val="BodyText"/>
        <w:spacing w:before="0"/>
      </w:pPr>
      <w:r>
        <w:rPr>
          <w:spacing w:val="-4"/>
          <w:sz w:val="16"/>
        </w:rPr>
        <w:t xml:space="preserve">Ikona </w:t>
      </w:r>
      <w:r>
        <w:rPr>
          <w:sz w:val="16"/>
        </w:rPr>
        <w:t xml:space="preserve">indikátoru </w:t>
      </w:r>
      <w:r>
        <w:rPr>
          <w:sz w:val="16"/>
        </w:rPr>
        <w:t xml:space="preserve">napájení </w:t>
      </w:r>
      <w:r>
        <w:rPr>
          <w:sz w:val="16"/>
        </w:rPr>
        <w:t>střídavým proudem</w:t>
      </w:r>
    </w:p>
    <w:p>
      <w:pPr>
        <w:pStyle w:val="ListParagraph"/>
        <w:numPr>
          <w:ilvl w:val="0"/>
          <w:numId w:val="25"/>
        </w:numPr>
        <w:tabs>
          <w:tab w:val="left" w:pos="593"/>
        </w:tabs>
        <w:spacing w:before="114" w:after="0" w:line="240" w:lineRule="auto"/>
        <w:ind w:left="593" w:right="0" w:hanging="298"/>
        <w:jc w:val="both"/>
        <w:rPr>
          <w:sz w:val="18"/>
        </w:rPr>
      </w:pPr>
      <w:r>
        <w:rPr>
          <w:sz w:val="16"/>
        </w:rPr>
        <w:t xml:space="preserve">Symbol </w:t>
      </w:r>
      <w:r>
        <w:rPr>
          <w:sz w:val="16"/>
        </w:rPr>
        <w:t>„</w:t>
      </w:r>
      <w:r>
        <w:rPr>
          <w:spacing w:val="-2"/>
          <w:sz w:val="18"/>
        </w:rPr>
        <w:drawing>
          <wp:inline distT="0" distB="0" distL="0" distR="0">
            <wp:extent cx="152400" cy="155448"/>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xmlns:r="http://schemas.openxmlformats.org/officeDocument/2006/relationships" r:embed="rId14" cstate="print"/>
                    <a:stretch>
                      <a:fillRect/>
                    </a:stretch>
                  </pic:blipFill>
                  <pic:spPr>
                    <a:xfrm>
                      <a:off x="0" y="0"/>
                      <a:ext cx="152400" cy="155448"/>
                    </a:xfrm>
                    <a:prstGeom prst="rect">
                      <a:avLst/>
                    </a:prstGeom>
                  </pic:spPr>
                </pic:pic>
              </a:graphicData>
            </a:graphic>
          </wp:inline>
        </w:drawing>
      </w:r>
      <w:r>
        <w:rPr>
          <w:sz w:val="16"/>
        </w:rPr>
        <w:t xml:space="preserve"> “ </w:t>
      </w:r>
      <w:r>
        <w:rPr>
          <w:sz w:val="16"/>
        </w:rPr>
        <w:t xml:space="preserve">na </w:t>
      </w:r>
      <w:r>
        <w:rPr>
          <w:sz w:val="16"/>
        </w:rPr>
        <w:t xml:space="preserve">napájecím </w:t>
      </w:r>
      <w:r>
        <w:rPr>
          <w:sz w:val="16"/>
        </w:rPr>
        <w:t xml:space="preserve">zdroji </w:t>
      </w:r>
      <w:r>
        <w:rPr>
          <w:sz w:val="16"/>
        </w:rPr>
        <w:t xml:space="preserve">AC </w:t>
      </w:r>
      <w:r>
        <w:rPr>
          <w:sz w:val="16"/>
        </w:rPr>
        <w:t>znamená</w:t>
      </w:r>
      <w:r>
        <w:rPr>
          <w:sz w:val="16"/>
        </w:rPr>
        <w:t xml:space="preserve">, že </w:t>
      </w:r>
      <w:r>
        <w:rPr>
          <w:sz w:val="16"/>
        </w:rPr>
        <w:t xml:space="preserve">napájecí </w:t>
      </w:r>
      <w:r>
        <w:rPr>
          <w:sz w:val="16"/>
        </w:rPr>
        <w:t xml:space="preserve">kabel </w:t>
      </w:r>
      <w:r>
        <w:rPr>
          <w:sz w:val="16"/>
        </w:rPr>
        <w:t xml:space="preserve">není </w:t>
      </w:r>
      <w:r>
        <w:rPr>
          <w:spacing w:val="-2"/>
          <w:sz w:val="16"/>
        </w:rPr>
        <w:t>připojen.</w:t>
      </w:r>
    </w:p>
    <w:p>
      <w:pPr>
        <w:pStyle w:val="ListParagraph"/>
        <w:numPr>
          <w:ilvl w:val="0"/>
          <w:numId w:val="25"/>
        </w:numPr>
        <w:tabs>
          <w:tab w:val="left" w:pos="593"/>
        </w:tabs>
        <w:spacing w:before="93" w:after="0" w:line="240" w:lineRule="auto"/>
        <w:ind w:left="593" w:right="0" w:hanging="298"/>
        <w:jc w:val="both"/>
        <w:rPr>
          <w:sz w:val="18"/>
        </w:rPr>
      </w:pPr>
      <w:r>
        <w:rPr>
          <w:sz w:val="16"/>
        </w:rPr>
        <w:t xml:space="preserve">Ikona </w:t>
      </w:r>
      <w:r>
        <w:rPr>
          <w:sz w:val="16"/>
        </w:rPr>
        <w:t>„</w:t>
      </w:r>
      <w:r>
        <w:rPr>
          <w:spacing w:val="-2"/>
          <w:sz w:val="18"/>
        </w:rPr>
        <w:drawing>
          <wp:inline distT="0" distB="0" distL="0" distR="0">
            <wp:extent cx="133970" cy="167639"/>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xmlns:r="http://schemas.openxmlformats.org/officeDocument/2006/relationships" r:embed="rId15" cstate="print"/>
                    <a:stretch>
                      <a:fillRect/>
                    </a:stretch>
                  </pic:blipFill>
                  <pic:spPr>
                    <a:xfrm>
                      <a:off x="0" y="0"/>
                      <a:ext cx="133970" cy="167639"/>
                    </a:xfrm>
                    <a:prstGeom prst="rect">
                      <a:avLst/>
                    </a:prstGeom>
                  </pic:spPr>
                </pic:pic>
              </a:graphicData>
            </a:graphic>
          </wp:inline>
        </w:drawing>
      </w:r>
      <w:r>
        <w:rPr>
          <w:sz w:val="16"/>
        </w:rPr>
        <w:t xml:space="preserve"> “ na </w:t>
      </w:r>
      <w:r>
        <w:rPr>
          <w:sz w:val="16"/>
        </w:rPr>
        <w:t xml:space="preserve">napájecím </w:t>
      </w:r>
      <w:r>
        <w:rPr>
          <w:sz w:val="16"/>
        </w:rPr>
        <w:t xml:space="preserve">zdroji </w:t>
      </w:r>
      <w:r>
        <w:rPr>
          <w:sz w:val="16"/>
        </w:rPr>
        <w:t xml:space="preserve">AC </w:t>
      </w:r>
      <w:r>
        <w:rPr>
          <w:sz w:val="16"/>
        </w:rPr>
        <w:t>signalizuje</w:t>
      </w:r>
      <w:r>
        <w:rPr>
          <w:sz w:val="16"/>
        </w:rPr>
        <w:t xml:space="preserve">, že </w:t>
      </w:r>
      <w:r>
        <w:rPr>
          <w:sz w:val="16"/>
        </w:rPr>
        <w:t xml:space="preserve">napájecí </w:t>
      </w:r>
      <w:r>
        <w:rPr>
          <w:sz w:val="16"/>
        </w:rPr>
        <w:t xml:space="preserve">kabel </w:t>
      </w:r>
      <w:r>
        <w:rPr>
          <w:sz w:val="16"/>
        </w:rPr>
        <w:t xml:space="preserve">je </w:t>
      </w:r>
      <w:r>
        <w:rPr>
          <w:spacing w:val="-2"/>
          <w:sz w:val="16"/>
        </w:rPr>
        <w:t>připojen.</w:t>
      </w:r>
    </w:p>
    <w:p>
      <w:pPr>
        <w:pStyle w:val="BodyText"/>
        <w:spacing w:before="113"/>
        <w:ind w:left="0"/>
      </w:pPr>
    </w:p>
    <w:p>
      <w:pPr>
        <w:pStyle w:val="Heading1"/>
        <w:numPr>
          <w:ilvl w:val="1"/>
          <w:numId w:val="1"/>
        </w:numPr>
        <w:tabs>
          <w:tab w:val="left" w:pos="593"/>
        </w:tabs>
        <w:spacing w:before="0" w:after="0" w:line="240" w:lineRule="auto"/>
        <w:ind w:left="593" w:right="0" w:hanging="298"/>
        <w:jc w:val="both"/>
      </w:pPr>
      <w:bookmarkStart w:id="48" w:name="6.4 Rear View"/>
      <w:bookmarkEnd w:id="48"/>
      <w:bookmarkStart w:id="49" w:name="_bookmark24"/>
      <w:bookmarkEnd w:id="49"/>
      <w:r>
        <w:rPr>
          <w:spacing w:val="-4"/>
          <w:sz w:val="18"/>
        </w:rPr>
        <w:t xml:space="preserve">Pohled </w:t>
      </w:r>
      <w:r>
        <w:rPr>
          <w:sz w:val="18"/>
        </w:rPr>
        <w:t>zezadu</w:t>
      </w:r>
    </w:p>
    <w:p>
      <w:pPr>
        <w:pStyle w:val="BodyText"/>
        <w:spacing w:before="9"/>
        <w:ind w:left="0"/>
        <w:rPr>
          <w:b/>
          <w:sz w:val="9"/>
        </w:rPr>
      </w:pPr>
      <w:r>
        <w:rPr>
          <w:b/>
          <w:sz w:val="9"/>
        </w:rPr>
        <w:drawing>
          <wp:anchor distT="0" distB="0" distL="0" distR="0" simplePos="0" relativeHeight="251682816" behindDoc="1" locked="0" layoutInCell="1" allowOverlap="1">
            <wp:simplePos x="0" y="0"/>
            <wp:positionH relativeFrom="page">
              <wp:posOffset>831349</wp:posOffset>
            </wp:positionH>
            <wp:positionV relativeFrom="paragraph">
              <wp:posOffset>87238</wp:posOffset>
            </wp:positionV>
            <wp:extent cx="3633520" cy="2213610"/>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xmlns:r="http://schemas.openxmlformats.org/officeDocument/2006/relationships" r:embed="rId16" cstate="print"/>
                    <a:stretch>
                      <a:fillRect/>
                    </a:stretch>
                  </pic:blipFill>
                  <pic:spPr>
                    <a:xfrm>
                      <a:off x="0" y="0"/>
                      <a:ext cx="3633520" cy="2213610"/>
                    </a:xfrm>
                    <a:prstGeom prst="rect">
                      <a:avLst/>
                    </a:prstGeom>
                  </pic:spPr>
                </pic:pic>
              </a:graphicData>
            </a:graphic>
          </wp:anchor>
        </w:drawing>
      </w:r>
    </w:p>
    <w:p>
      <w:pPr>
        <w:pStyle w:val="BodyText"/>
        <w:tabs>
          <w:tab w:val="left" w:pos="3774"/>
        </w:tabs>
        <w:spacing w:before="202"/>
        <w:ind w:left="715"/>
      </w:pPr>
      <w:r>
        <w:rPr>
          <w:rFonts w:ascii="Arial Unicode MS" w:hAnsi="Arial Unicode MS"/>
          <w:sz w:val="16"/>
        </w:rPr>
        <w:t xml:space="preserve">⑫ </w:t>
      </w:r>
      <w:r>
        <w:rPr>
          <w:sz w:val="16"/>
        </w:rPr>
        <w:t xml:space="preserve">— </w:t>
      </w:r>
      <w:r>
        <w:rPr>
          <w:sz w:val="16"/>
        </w:rPr>
        <w:t xml:space="preserve">Pevná </w:t>
      </w:r>
      <w:r>
        <w:rPr>
          <w:spacing w:val="-2"/>
          <w:sz w:val="16"/>
        </w:rPr>
        <w:t>svorka</w:t>
      </w:r>
      <w:r>
        <w:rPr>
          <w:sz w:val="16"/>
        </w:rPr>
        <w:tab/>
      </w:r>
      <w:r>
        <w:rPr>
          <w:rFonts w:ascii="Arial Unicode MS" w:hAnsi="Arial Unicode MS"/>
          <w:sz w:val="16"/>
        </w:rPr>
        <w:t xml:space="preserve">⑬ </w:t>
      </w:r>
      <w:r>
        <w:rPr>
          <w:sz w:val="16"/>
        </w:rPr>
        <w:t xml:space="preserve">— </w:t>
      </w:r>
      <w:r>
        <w:rPr>
          <w:sz w:val="16"/>
        </w:rPr>
        <w:t xml:space="preserve">Multifunkční </w:t>
      </w:r>
      <w:r>
        <w:rPr>
          <w:spacing w:val="-2"/>
          <w:sz w:val="16"/>
        </w:rPr>
        <w:t>rozhraní</w:t>
      </w:r>
    </w:p>
    <w:p>
      <w:pPr>
        <w:pStyle w:val="BodyText"/>
        <w:tabs>
          <w:tab w:val="left" w:pos="3774"/>
        </w:tabs>
        <w:spacing w:before="83"/>
        <w:ind w:left="715"/>
      </w:pPr>
      <w:r>
        <w:rPr>
          <w:rFonts w:ascii="Arial Unicode MS" w:hAnsi="Arial Unicode MS"/>
          <w:sz w:val="16"/>
        </w:rPr>
        <w:t xml:space="preserve">⑭ </w:t>
      </w:r>
      <w:r>
        <w:rPr>
          <w:sz w:val="16"/>
        </w:rPr>
        <w:t xml:space="preserve">— </w:t>
      </w:r>
      <w:r>
        <w:rPr>
          <w:spacing w:val="-2"/>
          <w:sz w:val="16"/>
        </w:rPr>
        <w:t xml:space="preserve">Zásuvka </w:t>
      </w:r>
      <w:r>
        <w:rPr>
          <w:sz w:val="16"/>
        </w:rPr>
        <w:t xml:space="preserve">stejnosměrného </w:t>
      </w:r>
      <w:r>
        <w:rPr>
          <w:sz w:val="16"/>
        </w:rPr>
        <w:t>proudu</w:t>
      </w:r>
      <w:r>
        <w:rPr>
          <w:sz w:val="16"/>
        </w:rPr>
        <w:tab/>
      </w:r>
      <w:r>
        <w:rPr>
          <w:rFonts w:ascii="Arial Unicode MS" w:hAnsi="Arial Unicode MS"/>
          <w:sz w:val="16"/>
        </w:rPr>
        <w:t xml:space="preserve">⑮ </w:t>
      </w:r>
      <w:r>
        <w:rPr>
          <w:sz w:val="16"/>
        </w:rPr>
        <w:t xml:space="preserve">— </w:t>
      </w:r>
      <w:r>
        <w:rPr>
          <w:spacing w:val="-2"/>
          <w:sz w:val="16"/>
        </w:rPr>
        <w:t>Reproduktor</w:t>
      </w:r>
    </w:p>
    <w:p>
      <w:pPr>
        <w:pStyle w:val="BodyText"/>
        <w:tabs>
          <w:tab w:val="left" w:pos="3774"/>
        </w:tabs>
        <w:spacing w:before="83"/>
        <w:ind w:left="715"/>
      </w:pPr>
      <w:r>
        <w:rPr>
          <w:rFonts w:ascii="Arial Unicode MS" w:hAnsi="Arial Unicode MS"/>
          <w:sz w:val="16"/>
        </w:rPr>
        <w:t xml:space="preserve">⑯ </w:t>
      </w:r>
      <w:r>
        <w:rPr>
          <w:sz w:val="16"/>
        </w:rPr>
        <w:t xml:space="preserve">— </w:t>
      </w:r>
      <w:r>
        <w:rPr>
          <w:sz w:val="16"/>
        </w:rPr>
        <w:t xml:space="preserve">Letecká </w:t>
      </w:r>
      <w:r>
        <w:rPr>
          <w:spacing w:val="-2"/>
          <w:sz w:val="16"/>
        </w:rPr>
        <w:t>zásuvka</w:t>
      </w:r>
      <w:r>
        <w:rPr>
          <w:sz w:val="16"/>
        </w:rPr>
        <w:tab/>
      </w:r>
      <w:r>
        <w:rPr>
          <w:rFonts w:ascii="Arial Unicode MS" w:hAnsi="Arial Unicode MS"/>
          <w:sz w:val="16"/>
        </w:rPr>
        <w:t xml:space="preserve">➃ </w:t>
      </w:r>
      <w:r>
        <w:rPr>
          <w:sz w:val="16"/>
        </w:rPr>
        <w:t xml:space="preserve">— </w:t>
      </w:r>
      <w:r>
        <w:rPr>
          <w:sz w:val="16"/>
        </w:rPr>
        <w:t>Síť</w:t>
      </w:r>
      <w:r>
        <w:rPr>
          <w:sz w:val="16"/>
        </w:rPr>
        <w:t xml:space="preserve">ová </w:t>
      </w:r>
      <w:r>
        <w:rPr>
          <w:spacing w:val="-2"/>
          <w:sz w:val="16"/>
        </w:rPr>
        <w:t>zásuvka</w:t>
      </w:r>
    </w:p>
    <w:p>
      <w:pPr>
        <w:pStyle w:val="BodyText"/>
        <w:spacing w:before="82"/>
        <w:ind w:left="715"/>
      </w:pPr>
      <w:r>
        <w:rPr>
          <w:rFonts w:ascii="Arial Unicode MS" w:hAnsi="Arial Unicode MS"/>
          <w:sz w:val="16"/>
        </w:rPr>
        <w:t xml:space="preserve">⑱ </w:t>
      </w:r>
      <w:r>
        <w:rPr>
          <w:sz w:val="16"/>
        </w:rPr>
        <w:t xml:space="preserve">— </w:t>
      </w:r>
      <w:r>
        <w:rPr>
          <w:spacing w:val="-2"/>
          <w:sz w:val="16"/>
        </w:rPr>
        <w:t>Spona</w:t>
      </w:r>
    </w:p>
    <w:p>
      <w:pPr>
        <w:pStyle w:val="BodyText"/>
        <w:spacing w:after="0"/>
        <w:sectPr>
          <w:pgSz w:w="8390" w:h="11910"/>
          <w:pgMar w:top="740" w:right="425" w:bottom="540" w:left="425" w:header="0" w:footer="342"/>
          <w:cols w:space="708"/>
        </w:sectPr>
      </w:pPr>
    </w:p>
    <w:tbl>
      <w:tblPr>
        <w:tblStyle w:val="TableNormal"/>
        <w:tblW w:w="0" w:type="auto"/>
        <w:jc w:val="left"/>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5036"/>
      </w:tblGrid>
      <w:tr>
        <w:tblPrEx>
          <w:tblW w:w="0" w:type="auto"/>
          <w:tblInd w:w="301" w:type="dxa"/>
          <w:tblLayout w:type="fixed"/>
          <w:tblLook w:val="01E0"/>
        </w:tblPrEx>
        <w:trPr>
          <w:trHeight w:val="363"/>
        </w:trPr>
        <w:tc>
          <w:tcPr>
            <w:tcW w:w="1911" w:type="dxa"/>
            <w:shd w:val="clear" w:color="auto" w:fill="99CCFF"/>
          </w:tcPr>
          <w:p>
            <w:pPr>
              <w:pStyle w:val="TableParagraph"/>
              <w:spacing w:before="87"/>
              <w:ind w:left="533"/>
              <w:rPr>
                <w:sz w:val="18"/>
              </w:rPr>
            </w:pPr>
            <w:r>
              <w:rPr>
                <w:spacing w:val="-2"/>
                <w:sz w:val="16"/>
              </w:rPr>
              <w:t>Popis</w:t>
            </w:r>
          </w:p>
        </w:tc>
        <w:tc>
          <w:tcPr>
            <w:tcW w:w="5036" w:type="dxa"/>
            <w:shd w:val="clear" w:color="auto" w:fill="99CCFF"/>
          </w:tcPr>
          <w:p>
            <w:pPr>
              <w:pStyle w:val="TableParagraph"/>
              <w:spacing w:before="87"/>
              <w:ind w:left="9"/>
              <w:jc w:val="center"/>
              <w:rPr>
                <w:sz w:val="18"/>
              </w:rPr>
            </w:pPr>
            <w:r>
              <w:rPr>
                <w:spacing w:val="-2"/>
                <w:sz w:val="16"/>
              </w:rPr>
              <w:t>Funkce</w:t>
            </w:r>
          </w:p>
        </w:tc>
      </w:tr>
      <w:tr>
        <w:tblPrEx>
          <w:tblW w:w="0" w:type="auto"/>
          <w:tblInd w:w="301" w:type="dxa"/>
          <w:tblLayout w:type="fixed"/>
          <w:tblLook w:val="01E0"/>
        </w:tblPrEx>
        <w:trPr>
          <w:trHeight w:val="604"/>
        </w:trPr>
        <w:tc>
          <w:tcPr>
            <w:tcW w:w="1911" w:type="dxa"/>
          </w:tcPr>
          <w:p>
            <w:pPr>
              <w:pStyle w:val="TableParagraph"/>
              <w:spacing w:before="205"/>
              <w:ind w:left="106"/>
              <w:rPr>
                <w:sz w:val="18"/>
              </w:rPr>
            </w:pPr>
            <w:r>
              <w:rPr>
                <w:sz w:val="16"/>
              </w:rPr>
              <w:t xml:space="preserve">Pevná </w:t>
            </w:r>
            <w:r>
              <w:rPr>
                <w:spacing w:val="-2"/>
                <w:sz w:val="16"/>
              </w:rPr>
              <w:t>svorka</w:t>
            </w:r>
          </w:p>
        </w:tc>
        <w:tc>
          <w:tcPr>
            <w:tcW w:w="5036" w:type="dxa"/>
          </w:tcPr>
          <w:p>
            <w:pPr>
              <w:pStyle w:val="TableParagraph"/>
              <w:spacing w:before="85" w:line="278" w:lineRule="auto"/>
              <w:ind w:left="108"/>
              <w:rPr>
                <w:sz w:val="18"/>
              </w:rPr>
            </w:pPr>
            <w:r>
              <w:rPr>
                <w:sz w:val="16"/>
              </w:rPr>
              <w:t xml:space="preserve">Upevňovací </w:t>
            </w:r>
            <w:r>
              <w:rPr>
                <w:sz w:val="16"/>
              </w:rPr>
              <w:t xml:space="preserve">svorka zajišťuje </w:t>
            </w:r>
            <w:r>
              <w:rPr>
                <w:sz w:val="16"/>
              </w:rPr>
              <w:t xml:space="preserve">injekční </w:t>
            </w:r>
            <w:r>
              <w:rPr>
                <w:sz w:val="16"/>
              </w:rPr>
              <w:t xml:space="preserve">pumpu </w:t>
            </w:r>
            <w:r>
              <w:rPr>
                <w:sz w:val="16"/>
              </w:rPr>
              <w:t xml:space="preserve">a </w:t>
            </w:r>
            <w:r>
              <w:rPr>
                <w:sz w:val="16"/>
              </w:rPr>
              <w:t xml:space="preserve">lze ji </w:t>
            </w:r>
            <w:r>
              <w:rPr>
                <w:sz w:val="16"/>
              </w:rPr>
              <w:t>uvolnit</w:t>
            </w:r>
            <w:r>
              <w:rPr>
                <w:sz w:val="16"/>
              </w:rPr>
              <w:t>, aby bylo možné změnit její orientaci (vodorovně nebo svisle).</w:t>
            </w:r>
          </w:p>
        </w:tc>
      </w:tr>
      <w:tr>
        <w:tblPrEx>
          <w:tblW w:w="0" w:type="auto"/>
          <w:tblInd w:w="301" w:type="dxa"/>
          <w:tblLayout w:type="fixed"/>
          <w:tblLook w:val="01E0"/>
        </w:tblPrEx>
        <w:trPr>
          <w:trHeight w:val="604"/>
        </w:trPr>
        <w:tc>
          <w:tcPr>
            <w:tcW w:w="1911" w:type="dxa"/>
          </w:tcPr>
          <w:p>
            <w:pPr>
              <w:pStyle w:val="TableParagraph"/>
              <w:spacing w:before="85" w:line="278" w:lineRule="auto"/>
              <w:ind w:left="106"/>
              <w:rPr>
                <w:sz w:val="18"/>
              </w:rPr>
            </w:pPr>
            <w:r>
              <w:rPr>
                <w:sz w:val="16"/>
              </w:rPr>
              <w:t xml:space="preserve">Zásuvka pro </w:t>
            </w:r>
            <w:r>
              <w:rPr>
                <w:sz w:val="16"/>
              </w:rPr>
              <w:t xml:space="preserve">stejnosměrný </w:t>
            </w:r>
            <w:r>
              <w:rPr>
                <w:sz w:val="16"/>
              </w:rPr>
              <w:t xml:space="preserve">proud </w:t>
            </w:r>
            <w:r>
              <w:rPr>
                <w:sz w:val="16"/>
              </w:rPr>
              <w:t>DC12V</w:t>
            </w:r>
          </w:p>
        </w:tc>
        <w:tc>
          <w:tcPr>
            <w:tcW w:w="5036" w:type="dxa"/>
          </w:tcPr>
          <w:p>
            <w:pPr>
              <w:pStyle w:val="TableParagraph"/>
              <w:spacing w:before="85" w:line="278" w:lineRule="auto"/>
              <w:ind w:left="108"/>
              <w:rPr>
                <w:sz w:val="18"/>
              </w:rPr>
            </w:pPr>
            <w:r>
              <w:rPr>
                <w:sz w:val="16"/>
              </w:rPr>
              <w:t xml:space="preserve">Lze </w:t>
            </w:r>
            <w:r>
              <w:rPr>
                <w:sz w:val="16"/>
              </w:rPr>
              <w:t xml:space="preserve">připojit </w:t>
            </w:r>
            <w:r>
              <w:rPr>
                <w:sz w:val="16"/>
              </w:rPr>
              <w:t xml:space="preserve">k </w:t>
            </w:r>
            <w:r>
              <w:rPr>
                <w:sz w:val="16"/>
              </w:rPr>
              <w:t xml:space="preserve">externímu </w:t>
            </w:r>
            <w:r>
              <w:rPr>
                <w:sz w:val="16"/>
              </w:rPr>
              <w:t xml:space="preserve">zdroji </w:t>
            </w:r>
            <w:r>
              <w:rPr>
                <w:sz w:val="16"/>
              </w:rPr>
              <w:t xml:space="preserve">stejnosměrného </w:t>
            </w:r>
            <w:r>
              <w:rPr>
                <w:sz w:val="16"/>
              </w:rPr>
              <w:t>proudu</w:t>
            </w:r>
            <w:r>
              <w:rPr>
                <w:sz w:val="16"/>
              </w:rPr>
              <w:t xml:space="preserve"> 12 V, </w:t>
            </w:r>
            <w:r>
              <w:rPr>
                <w:sz w:val="16"/>
              </w:rPr>
              <w:t>který splňuje požadavky normy IEC 60601-1.</w:t>
            </w:r>
          </w:p>
        </w:tc>
      </w:tr>
      <w:tr>
        <w:tblPrEx>
          <w:tblW w:w="0" w:type="auto"/>
          <w:tblInd w:w="301" w:type="dxa"/>
          <w:tblLayout w:type="fixed"/>
          <w:tblLook w:val="01E0"/>
        </w:tblPrEx>
        <w:trPr>
          <w:trHeight w:val="603"/>
        </w:trPr>
        <w:tc>
          <w:tcPr>
            <w:tcW w:w="1911" w:type="dxa"/>
          </w:tcPr>
          <w:p>
            <w:pPr>
              <w:pStyle w:val="TableParagraph"/>
              <w:spacing w:before="86" w:line="278" w:lineRule="auto"/>
              <w:ind w:left="106" w:right="602"/>
              <w:rPr>
                <w:sz w:val="18"/>
              </w:rPr>
            </w:pPr>
            <w:r>
              <w:rPr>
                <w:spacing w:val="-2"/>
                <w:sz w:val="16"/>
              </w:rPr>
              <w:t>Multifunkční rozhraní</w:t>
            </w:r>
          </w:p>
        </w:tc>
        <w:tc>
          <w:tcPr>
            <w:tcW w:w="5036" w:type="dxa"/>
          </w:tcPr>
          <w:p>
            <w:pPr>
              <w:pStyle w:val="TableParagraph"/>
              <w:spacing w:before="86" w:line="278" w:lineRule="auto"/>
              <w:ind w:left="108"/>
              <w:rPr>
                <w:sz w:val="18"/>
              </w:rPr>
            </w:pPr>
            <w:r>
              <w:rPr>
                <w:sz w:val="16"/>
              </w:rPr>
              <w:t xml:space="preserve">Lze </w:t>
            </w:r>
            <w:r>
              <w:rPr>
                <w:sz w:val="16"/>
              </w:rPr>
              <w:t xml:space="preserve">jej </w:t>
            </w:r>
            <w:r>
              <w:rPr>
                <w:sz w:val="16"/>
              </w:rPr>
              <w:t xml:space="preserve">použít </w:t>
            </w:r>
            <w:r>
              <w:rPr>
                <w:sz w:val="16"/>
              </w:rPr>
              <w:t xml:space="preserve">ke </w:t>
            </w:r>
            <w:r>
              <w:rPr>
                <w:sz w:val="16"/>
              </w:rPr>
              <w:t xml:space="preserve">stažení </w:t>
            </w:r>
            <w:r>
              <w:rPr>
                <w:sz w:val="16"/>
              </w:rPr>
              <w:t>programu</w:t>
            </w:r>
            <w:r>
              <w:rPr>
                <w:sz w:val="16"/>
              </w:rPr>
              <w:t xml:space="preserve">, </w:t>
            </w:r>
            <w:r>
              <w:rPr>
                <w:sz w:val="16"/>
              </w:rPr>
              <w:t xml:space="preserve">nahrání záznamů </w:t>
            </w:r>
            <w:r>
              <w:rPr>
                <w:sz w:val="16"/>
              </w:rPr>
              <w:t xml:space="preserve">historie </w:t>
            </w:r>
            <w:r>
              <w:rPr>
                <w:sz w:val="16"/>
              </w:rPr>
              <w:t>a komunikaci.</w:t>
            </w:r>
          </w:p>
        </w:tc>
      </w:tr>
      <w:tr>
        <w:tblPrEx>
          <w:tblW w:w="0" w:type="auto"/>
          <w:tblInd w:w="301" w:type="dxa"/>
          <w:tblLayout w:type="fixed"/>
          <w:tblLook w:val="01E0"/>
        </w:tblPrEx>
        <w:trPr>
          <w:trHeight w:val="364"/>
        </w:trPr>
        <w:tc>
          <w:tcPr>
            <w:tcW w:w="1911" w:type="dxa"/>
          </w:tcPr>
          <w:p>
            <w:pPr>
              <w:pStyle w:val="TableParagraph"/>
              <w:spacing w:before="86"/>
              <w:ind w:left="106"/>
              <w:rPr>
                <w:sz w:val="18"/>
              </w:rPr>
            </w:pPr>
            <w:r>
              <w:rPr>
                <w:spacing w:val="-2"/>
                <w:sz w:val="16"/>
              </w:rPr>
              <w:t xml:space="preserve">Letecká </w:t>
            </w:r>
            <w:r>
              <w:rPr>
                <w:spacing w:val="-2"/>
                <w:sz w:val="16"/>
              </w:rPr>
              <w:t>zásuvka</w:t>
            </w:r>
          </w:p>
        </w:tc>
        <w:tc>
          <w:tcPr>
            <w:tcW w:w="5036" w:type="dxa"/>
          </w:tcPr>
          <w:p>
            <w:pPr>
              <w:pStyle w:val="TableParagraph"/>
              <w:spacing w:before="86"/>
              <w:ind w:left="108"/>
              <w:rPr>
                <w:sz w:val="18"/>
              </w:rPr>
            </w:pPr>
            <w:r>
              <w:rPr>
                <w:sz w:val="16"/>
              </w:rPr>
              <w:t xml:space="preserve">Volitelné </w:t>
            </w:r>
            <w:r>
              <w:rPr>
                <w:sz w:val="16"/>
              </w:rPr>
              <w:t xml:space="preserve">použití </w:t>
            </w:r>
            <w:r>
              <w:rPr>
                <w:sz w:val="16"/>
              </w:rPr>
              <w:t xml:space="preserve">pro </w:t>
            </w:r>
            <w:r>
              <w:rPr>
                <w:spacing w:val="-2"/>
                <w:sz w:val="16"/>
              </w:rPr>
              <w:t>funkci</w:t>
            </w:r>
            <w:r>
              <w:rPr>
                <w:sz w:val="16"/>
              </w:rPr>
              <w:t xml:space="preserve"> přivolání sestry</w:t>
            </w:r>
            <w:r>
              <w:rPr>
                <w:spacing w:val="-2"/>
                <w:sz w:val="16"/>
              </w:rPr>
              <w:t>.</w:t>
            </w:r>
          </w:p>
        </w:tc>
      </w:tr>
      <w:tr>
        <w:tblPrEx>
          <w:tblW w:w="0" w:type="auto"/>
          <w:tblInd w:w="301" w:type="dxa"/>
          <w:tblLayout w:type="fixed"/>
          <w:tblLook w:val="01E0"/>
        </w:tblPrEx>
        <w:trPr>
          <w:trHeight w:val="363"/>
        </w:trPr>
        <w:tc>
          <w:tcPr>
            <w:tcW w:w="1911" w:type="dxa"/>
          </w:tcPr>
          <w:p>
            <w:pPr>
              <w:pStyle w:val="TableParagraph"/>
              <w:spacing w:before="86"/>
              <w:ind w:left="106"/>
              <w:rPr>
                <w:sz w:val="18"/>
              </w:rPr>
            </w:pPr>
            <w:r>
              <w:rPr>
                <w:sz w:val="16"/>
              </w:rPr>
              <w:t>Síť</w:t>
            </w:r>
            <w:r>
              <w:rPr>
                <w:sz w:val="16"/>
              </w:rPr>
              <w:t xml:space="preserve">ová </w:t>
            </w:r>
            <w:r>
              <w:rPr>
                <w:spacing w:val="-2"/>
                <w:sz w:val="16"/>
              </w:rPr>
              <w:t>zásuvka</w:t>
            </w:r>
          </w:p>
        </w:tc>
        <w:tc>
          <w:tcPr>
            <w:tcW w:w="5036" w:type="dxa"/>
          </w:tcPr>
          <w:p>
            <w:pPr>
              <w:pStyle w:val="TableParagraph"/>
              <w:spacing w:before="86"/>
              <w:ind w:left="108"/>
              <w:rPr>
                <w:sz w:val="18"/>
              </w:rPr>
            </w:pPr>
            <w:r>
              <w:rPr>
                <w:sz w:val="16"/>
              </w:rPr>
              <w:t xml:space="preserve">Síťová </w:t>
            </w:r>
            <w:r>
              <w:rPr>
                <w:sz w:val="16"/>
              </w:rPr>
              <w:t xml:space="preserve">zásuvka </w:t>
            </w:r>
            <w:r>
              <w:rPr>
                <w:sz w:val="16"/>
              </w:rPr>
              <w:t xml:space="preserve">pro </w:t>
            </w:r>
            <w:r>
              <w:rPr>
                <w:sz w:val="16"/>
              </w:rPr>
              <w:t xml:space="preserve">připojení </w:t>
            </w:r>
            <w:r>
              <w:rPr>
                <w:sz w:val="16"/>
              </w:rPr>
              <w:t xml:space="preserve">externího </w:t>
            </w:r>
            <w:r>
              <w:rPr>
                <w:sz w:val="16"/>
              </w:rPr>
              <w:t xml:space="preserve">napájecího </w:t>
            </w:r>
            <w:r>
              <w:rPr>
                <w:spacing w:val="-4"/>
                <w:sz w:val="16"/>
              </w:rPr>
              <w:t>kabelu.</w:t>
            </w:r>
          </w:p>
        </w:tc>
      </w:tr>
    </w:tbl>
    <w:p>
      <w:pPr>
        <w:pStyle w:val="BodyText"/>
        <w:spacing w:before="99"/>
        <w:ind w:left="0"/>
        <w:rPr>
          <w:sz w:val="20"/>
        </w:rPr>
      </w:pPr>
    </w:p>
    <w:p>
      <w:pPr>
        <w:pStyle w:val="Heading1"/>
        <w:numPr>
          <w:ilvl w:val="1"/>
          <w:numId w:val="1"/>
        </w:numPr>
        <w:tabs>
          <w:tab w:val="left" w:pos="593"/>
        </w:tabs>
        <w:spacing w:before="0" w:after="0" w:line="240" w:lineRule="auto"/>
        <w:ind w:left="593" w:right="0" w:hanging="298"/>
        <w:jc w:val="left"/>
      </w:pPr>
      <w:bookmarkStart w:id="50" w:name="6.5 Label"/>
      <w:bookmarkEnd w:id="50"/>
      <w:bookmarkStart w:id="51" w:name="_bookmark25"/>
      <w:bookmarkEnd w:id="51"/>
      <w:r>
        <w:rPr>
          <w:spacing w:val="-4"/>
          <w:sz w:val="18"/>
        </w:rPr>
        <w:t>Štítek</w:t>
      </w:r>
    </w:p>
    <w:p>
      <w:pPr>
        <w:pStyle w:val="Heading2"/>
        <w:numPr>
          <w:ilvl w:val="2"/>
          <w:numId w:val="1"/>
        </w:numPr>
        <w:tabs>
          <w:tab w:val="left" w:pos="698"/>
        </w:tabs>
        <w:spacing w:before="112" w:after="0" w:line="240" w:lineRule="auto"/>
        <w:ind w:left="698" w:right="0" w:hanging="403"/>
        <w:jc w:val="left"/>
      </w:pPr>
      <w:r>
        <w:rPr>
          <w:sz w:val="16"/>
        </w:rPr>
        <w:t xml:space="preserve">Štítek </w:t>
      </w:r>
      <w:r>
        <w:rPr>
          <w:spacing w:val="-5"/>
          <w:sz w:val="16"/>
        </w:rPr>
        <w:t xml:space="preserve">produktu </w:t>
      </w:r>
      <w:r>
        <w:rPr>
          <w:sz w:val="16"/>
        </w:rPr>
        <w:t xml:space="preserve">(připevněný </w:t>
      </w:r>
      <w:r>
        <w:rPr>
          <w:sz w:val="16"/>
        </w:rPr>
        <w:t xml:space="preserve">na </w:t>
      </w:r>
      <w:r>
        <w:rPr>
          <w:sz w:val="16"/>
        </w:rPr>
        <w:t xml:space="preserve">zadní </w:t>
      </w:r>
      <w:r>
        <w:rPr>
          <w:sz w:val="16"/>
        </w:rPr>
        <w:t xml:space="preserve">straně </w:t>
      </w:r>
      <w:r>
        <w:rPr>
          <w:sz w:val="16"/>
        </w:rPr>
        <w:t xml:space="preserve">injekční </w:t>
      </w:r>
      <w:r>
        <w:rPr>
          <w:spacing w:val="-2"/>
          <w:sz w:val="16"/>
        </w:rPr>
        <w:t>pumpy)</w:t>
      </w:r>
    </w:p>
    <w:p>
      <w:pPr>
        <w:pStyle w:val="BodyText"/>
        <w:spacing w:before="170" w:line="278" w:lineRule="auto"/>
        <w:ind w:right="292"/>
      </w:pPr>
      <w:r>
        <w:rPr>
          <w:sz w:val="16"/>
        </w:rPr>
        <w:t xml:space="preserve">Tento </w:t>
      </w:r>
      <w:r>
        <w:rPr>
          <w:sz w:val="16"/>
        </w:rPr>
        <w:t xml:space="preserve">štítek </w:t>
      </w:r>
      <w:r>
        <w:rPr>
          <w:sz w:val="16"/>
        </w:rPr>
        <w:t xml:space="preserve">obsahuje </w:t>
      </w:r>
      <w:r>
        <w:rPr>
          <w:sz w:val="16"/>
        </w:rPr>
        <w:t xml:space="preserve">informace </w:t>
      </w:r>
      <w:r>
        <w:rPr>
          <w:sz w:val="16"/>
        </w:rPr>
        <w:t xml:space="preserve">podle </w:t>
      </w:r>
      <w:r>
        <w:rPr>
          <w:sz w:val="16"/>
        </w:rPr>
        <w:t xml:space="preserve">příslušných </w:t>
      </w:r>
      <w:r>
        <w:rPr>
          <w:sz w:val="16"/>
        </w:rPr>
        <w:t xml:space="preserve">norem, </w:t>
      </w:r>
      <w:r>
        <w:rPr>
          <w:sz w:val="16"/>
        </w:rPr>
        <w:t xml:space="preserve">včetně </w:t>
      </w:r>
      <w:r>
        <w:rPr>
          <w:sz w:val="16"/>
        </w:rPr>
        <w:t>výrobce, data výroby, kódu šarže, klasifikace zařízení atd.</w:t>
      </w:r>
    </w:p>
    <w:p>
      <w:pPr>
        <w:pStyle w:val="BodyText"/>
        <w:spacing w:before="71"/>
        <w:ind w:left="0"/>
      </w:pPr>
    </w:p>
    <w:p>
      <w:pPr>
        <w:pStyle w:val="ListParagraph"/>
        <w:numPr>
          <w:ilvl w:val="2"/>
          <w:numId w:val="1"/>
        </w:numPr>
        <w:tabs>
          <w:tab w:val="left" w:pos="698"/>
        </w:tabs>
        <w:spacing w:before="1" w:after="0" w:line="240" w:lineRule="auto"/>
        <w:ind w:left="698" w:right="0" w:hanging="403"/>
        <w:jc w:val="left"/>
        <w:rPr>
          <w:b/>
          <w:sz w:val="18"/>
        </w:rPr>
      </w:pPr>
      <w:r>
        <w:rPr>
          <w:b/>
          <w:sz w:val="16"/>
        </w:rPr>
        <w:t xml:space="preserve">Značka </w:t>
      </w:r>
      <w:r>
        <w:rPr>
          <w:b/>
          <w:sz w:val="16"/>
        </w:rPr>
        <w:t xml:space="preserve">a </w:t>
      </w:r>
      <w:r>
        <w:rPr>
          <w:b/>
          <w:sz w:val="16"/>
        </w:rPr>
        <w:t xml:space="preserve">její </w:t>
      </w:r>
      <w:r>
        <w:rPr>
          <w:b/>
          <w:spacing w:val="-2"/>
          <w:sz w:val="16"/>
        </w:rPr>
        <w:t>význam</w:t>
      </w:r>
    </w:p>
    <w:p>
      <w:pPr>
        <w:spacing w:before="169"/>
        <w:ind w:left="120" w:right="118" w:firstLine="0"/>
        <w:jc w:val="center"/>
        <w:rPr>
          <w:b/>
          <w:sz w:val="18"/>
        </w:rPr>
      </w:pPr>
      <w:r>
        <w:rPr>
          <w:b/>
          <w:spacing w:val="-2"/>
          <w:sz w:val="16"/>
        </w:rPr>
        <w:t>(Tabulka</w:t>
      </w:r>
      <w:r>
        <w:rPr>
          <w:b/>
          <w:spacing w:val="-5"/>
          <w:sz w:val="16"/>
        </w:rPr>
        <w:t xml:space="preserve"> 1)</w:t>
      </w:r>
    </w:p>
    <w:p>
      <w:pPr>
        <w:pStyle w:val="BodyText"/>
        <w:spacing w:before="2"/>
        <w:ind w:left="0"/>
        <w:rPr>
          <w:b/>
          <w:sz w:val="9"/>
        </w:rPr>
      </w:pPr>
    </w:p>
    <w:tbl>
      <w:tblPr>
        <w:tblStyle w:val="TableNormal"/>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5"/>
        <w:gridCol w:w="2209"/>
        <w:gridCol w:w="1232"/>
        <w:gridCol w:w="2257"/>
      </w:tblGrid>
      <w:tr>
        <w:tblPrEx>
          <w:tblW w:w="0" w:type="auto"/>
          <w:tblInd w:w="288" w:type="dxa"/>
          <w:tblLayout w:type="fixed"/>
          <w:tblLook w:val="01E0"/>
        </w:tblPrEx>
        <w:trPr>
          <w:trHeight w:val="447"/>
        </w:trPr>
        <w:tc>
          <w:tcPr>
            <w:tcW w:w="1275" w:type="dxa"/>
            <w:shd w:val="clear" w:color="auto" w:fill="99CCFF"/>
          </w:tcPr>
          <w:p>
            <w:pPr>
              <w:pStyle w:val="TableParagraph"/>
              <w:spacing w:before="126"/>
              <w:ind w:left="12" w:right="2"/>
              <w:jc w:val="center"/>
              <w:rPr>
                <w:sz w:val="18"/>
              </w:rPr>
            </w:pPr>
            <w:r>
              <w:rPr>
                <w:spacing w:val="-4"/>
                <w:sz w:val="16"/>
              </w:rPr>
              <w:t>Značka</w:t>
            </w:r>
          </w:p>
        </w:tc>
        <w:tc>
          <w:tcPr>
            <w:tcW w:w="2209" w:type="dxa"/>
            <w:shd w:val="clear" w:color="auto" w:fill="99CCFF"/>
          </w:tcPr>
          <w:p>
            <w:pPr>
              <w:pStyle w:val="TableParagraph"/>
              <w:spacing w:before="126"/>
              <w:ind w:left="683"/>
              <w:rPr>
                <w:sz w:val="18"/>
              </w:rPr>
            </w:pPr>
            <w:r>
              <w:rPr>
                <w:spacing w:val="-2"/>
                <w:sz w:val="16"/>
              </w:rPr>
              <w:t>Popis</w:t>
            </w:r>
          </w:p>
        </w:tc>
        <w:tc>
          <w:tcPr>
            <w:tcW w:w="1232" w:type="dxa"/>
            <w:shd w:val="clear" w:color="auto" w:fill="99CCFF"/>
          </w:tcPr>
          <w:p>
            <w:pPr>
              <w:pStyle w:val="TableParagraph"/>
              <w:spacing w:before="126"/>
              <w:ind w:left="11"/>
              <w:jc w:val="center"/>
              <w:rPr>
                <w:sz w:val="18"/>
              </w:rPr>
            </w:pPr>
            <w:r>
              <w:rPr>
                <w:spacing w:val="-4"/>
                <w:sz w:val="16"/>
              </w:rPr>
              <w:t>Značka</w:t>
            </w:r>
          </w:p>
        </w:tc>
        <w:tc>
          <w:tcPr>
            <w:tcW w:w="2257" w:type="dxa"/>
            <w:shd w:val="clear" w:color="auto" w:fill="99CCFF"/>
          </w:tcPr>
          <w:p>
            <w:pPr>
              <w:pStyle w:val="TableParagraph"/>
              <w:spacing w:before="126"/>
              <w:ind w:left="707"/>
              <w:rPr>
                <w:sz w:val="18"/>
              </w:rPr>
            </w:pPr>
            <w:r>
              <w:rPr>
                <w:spacing w:val="-2"/>
                <w:sz w:val="16"/>
              </w:rPr>
              <w:t>Popis</w:t>
            </w:r>
          </w:p>
        </w:tc>
      </w:tr>
      <w:tr>
        <w:tblPrEx>
          <w:tblW w:w="0" w:type="auto"/>
          <w:tblInd w:w="288" w:type="dxa"/>
          <w:tblLayout w:type="fixed"/>
          <w:tblLook w:val="01E0"/>
        </w:tblPrEx>
        <w:trPr>
          <w:trHeight w:val="661"/>
        </w:trPr>
        <w:tc>
          <w:tcPr>
            <w:tcW w:w="1275" w:type="dxa"/>
          </w:tcPr>
          <w:p>
            <w:pPr>
              <w:pStyle w:val="TableParagraph"/>
              <w:spacing w:before="7"/>
              <w:rPr>
                <w:b/>
                <w:sz w:val="12"/>
              </w:rPr>
            </w:pPr>
          </w:p>
          <w:p>
            <w:pPr>
              <w:pStyle w:val="TableParagraph"/>
              <w:ind w:left="355"/>
              <w:rPr>
                <w:sz w:val="20"/>
              </w:rPr>
            </w:pPr>
            <w:r>
              <w:rPr>
                <w:sz w:val="20"/>
              </w:rPr>
              <w:drawing>
                <wp:inline distT="0" distB="0" distL="0" distR="0">
                  <wp:extent cx="362984" cy="238887"/>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xmlns:r="http://schemas.openxmlformats.org/officeDocument/2006/relationships" r:embed="rId17" cstate="print"/>
                          <a:stretch>
                            <a:fillRect/>
                          </a:stretch>
                        </pic:blipFill>
                        <pic:spPr>
                          <a:xfrm>
                            <a:off x="0" y="0"/>
                            <a:ext cx="362984" cy="238887"/>
                          </a:xfrm>
                          <a:prstGeom prst="rect">
                            <a:avLst/>
                          </a:prstGeom>
                        </pic:spPr>
                      </pic:pic>
                    </a:graphicData>
                  </a:graphic>
                </wp:inline>
              </w:drawing>
            </w:r>
          </w:p>
        </w:tc>
        <w:tc>
          <w:tcPr>
            <w:tcW w:w="2209" w:type="dxa"/>
          </w:tcPr>
          <w:p>
            <w:pPr>
              <w:pStyle w:val="TableParagraph"/>
              <w:spacing w:before="25"/>
              <w:rPr>
                <w:b/>
                <w:sz w:val="18"/>
              </w:rPr>
            </w:pPr>
          </w:p>
          <w:p>
            <w:pPr>
              <w:pStyle w:val="TableParagraph"/>
              <w:ind w:left="107"/>
              <w:rPr>
                <w:sz w:val="18"/>
              </w:rPr>
            </w:pPr>
            <w:r>
              <w:rPr>
                <w:spacing w:val="-4"/>
                <w:sz w:val="16"/>
              </w:rPr>
              <w:t xml:space="preserve">Kód </w:t>
            </w:r>
            <w:r>
              <w:rPr>
                <w:sz w:val="16"/>
              </w:rPr>
              <w:t>šarže</w:t>
            </w:r>
          </w:p>
        </w:tc>
        <w:tc>
          <w:tcPr>
            <w:tcW w:w="1232" w:type="dxa"/>
          </w:tcPr>
          <w:p>
            <w:pPr>
              <w:pStyle w:val="TableParagraph"/>
              <w:spacing w:before="9"/>
              <w:rPr>
                <w:b/>
                <w:sz w:val="7"/>
              </w:rPr>
            </w:pPr>
          </w:p>
          <w:p>
            <w:pPr>
              <w:pStyle w:val="TableParagraph"/>
              <w:ind w:left="384"/>
              <w:rPr>
                <w:sz w:val="20"/>
              </w:rPr>
            </w:pPr>
            <w:r>
              <w:rPr>
                <w:sz w:val="20"/>
              </w:rPr>
              <w:drawing>
                <wp:inline distT="0" distB="0" distL="0" distR="0">
                  <wp:extent cx="280416" cy="298704"/>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xmlns:r="http://schemas.openxmlformats.org/officeDocument/2006/relationships" r:embed="rId18" cstate="print"/>
                          <a:stretch>
                            <a:fillRect/>
                          </a:stretch>
                        </pic:blipFill>
                        <pic:spPr>
                          <a:xfrm>
                            <a:off x="0" y="0"/>
                            <a:ext cx="280416" cy="298704"/>
                          </a:xfrm>
                          <a:prstGeom prst="rect">
                            <a:avLst/>
                          </a:prstGeom>
                        </pic:spPr>
                      </pic:pic>
                    </a:graphicData>
                  </a:graphic>
                </wp:inline>
              </w:drawing>
            </w:r>
          </w:p>
        </w:tc>
        <w:tc>
          <w:tcPr>
            <w:tcW w:w="2257" w:type="dxa"/>
          </w:tcPr>
          <w:p>
            <w:pPr>
              <w:pStyle w:val="TableParagraph"/>
              <w:spacing w:before="25"/>
              <w:rPr>
                <w:b/>
                <w:sz w:val="18"/>
              </w:rPr>
            </w:pPr>
          </w:p>
          <w:p>
            <w:pPr>
              <w:pStyle w:val="TableParagraph"/>
              <w:ind w:left="107"/>
              <w:rPr>
                <w:sz w:val="18"/>
              </w:rPr>
            </w:pPr>
            <w:r>
              <w:rPr>
                <w:sz w:val="16"/>
              </w:rPr>
              <w:t xml:space="preserve">Ochranné </w:t>
            </w:r>
            <w:r>
              <w:rPr>
                <w:spacing w:val="-2"/>
                <w:sz w:val="16"/>
              </w:rPr>
              <w:t>uzemnění</w:t>
            </w:r>
          </w:p>
        </w:tc>
      </w:tr>
      <w:tr>
        <w:tblPrEx>
          <w:tblW w:w="0" w:type="auto"/>
          <w:tblInd w:w="288" w:type="dxa"/>
          <w:tblLayout w:type="fixed"/>
          <w:tblLook w:val="01E0"/>
        </w:tblPrEx>
        <w:trPr>
          <w:trHeight w:val="743"/>
        </w:trPr>
        <w:tc>
          <w:tcPr>
            <w:tcW w:w="1275" w:type="dxa"/>
          </w:tcPr>
          <w:p>
            <w:pPr>
              <w:pStyle w:val="TableParagraph"/>
              <w:spacing w:before="10" w:after="1"/>
              <w:rPr>
                <w:b/>
                <w:sz w:val="17"/>
              </w:rPr>
            </w:pPr>
          </w:p>
          <w:p>
            <w:pPr>
              <w:pStyle w:val="TableParagraph"/>
              <w:ind w:left="367"/>
              <w:rPr>
                <w:sz w:val="20"/>
              </w:rPr>
            </w:pPr>
            <w:r>
              <w:rPr>
                <w:sz w:val="20"/>
              </w:rPr>
              <w:drawing>
                <wp:inline distT="0" distB="0" distL="0" distR="0">
                  <wp:extent cx="344763" cy="21145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xmlns:r="http://schemas.openxmlformats.org/officeDocument/2006/relationships" r:embed="rId19" cstate="print"/>
                          <a:stretch>
                            <a:fillRect/>
                          </a:stretch>
                        </pic:blipFill>
                        <pic:spPr>
                          <a:xfrm>
                            <a:off x="0" y="0"/>
                            <a:ext cx="344763" cy="211455"/>
                          </a:xfrm>
                          <a:prstGeom prst="rect">
                            <a:avLst/>
                          </a:prstGeom>
                        </pic:spPr>
                      </pic:pic>
                    </a:graphicData>
                  </a:graphic>
                </wp:inline>
              </w:drawing>
            </w:r>
          </w:p>
        </w:tc>
        <w:tc>
          <w:tcPr>
            <w:tcW w:w="2209" w:type="dxa"/>
          </w:tcPr>
          <w:p>
            <w:pPr>
              <w:pStyle w:val="TableParagraph"/>
              <w:spacing w:before="67"/>
              <w:rPr>
                <w:b/>
                <w:sz w:val="18"/>
              </w:rPr>
            </w:pPr>
          </w:p>
          <w:p>
            <w:pPr>
              <w:pStyle w:val="TableParagraph"/>
              <w:ind w:left="107"/>
              <w:rPr>
                <w:sz w:val="18"/>
              </w:rPr>
            </w:pPr>
            <w:r>
              <w:rPr>
                <w:sz w:val="16"/>
              </w:rPr>
              <w:t xml:space="preserve">Sériové </w:t>
            </w:r>
            <w:r>
              <w:rPr>
                <w:spacing w:val="-2"/>
                <w:sz w:val="16"/>
              </w:rPr>
              <w:t>číslo</w:t>
            </w:r>
          </w:p>
        </w:tc>
        <w:tc>
          <w:tcPr>
            <w:tcW w:w="1232" w:type="dxa"/>
          </w:tcPr>
          <w:p>
            <w:pPr>
              <w:pStyle w:val="TableParagraph"/>
              <w:spacing w:before="60"/>
              <w:rPr>
                <w:b/>
                <w:sz w:val="18"/>
              </w:rPr>
            </w:pPr>
          </w:p>
          <w:p>
            <w:pPr>
              <w:pStyle w:val="TableParagraph"/>
              <w:ind w:left="11" w:right="2"/>
              <w:jc w:val="center"/>
              <w:rPr>
                <w:b/>
                <w:sz w:val="18"/>
              </w:rPr>
            </w:pPr>
            <w:r>
              <w:rPr>
                <w:b/>
                <w:spacing w:val="-4"/>
                <w:sz w:val="16"/>
              </w:rPr>
              <w:t>IP44</w:t>
            </w:r>
          </w:p>
        </w:tc>
        <w:tc>
          <w:tcPr>
            <w:tcW w:w="2257" w:type="dxa"/>
          </w:tcPr>
          <w:p>
            <w:pPr>
              <w:pStyle w:val="TableParagraph"/>
              <w:spacing w:before="67"/>
              <w:rPr>
                <w:b/>
                <w:sz w:val="18"/>
              </w:rPr>
            </w:pPr>
          </w:p>
          <w:p>
            <w:pPr>
              <w:pStyle w:val="TableParagraph"/>
              <w:ind w:left="107"/>
              <w:rPr>
                <w:sz w:val="18"/>
              </w:rPr>
            </w:pPr>
            <w:r>
              <w:rPr>
                <w:spacing w:val="-2"/>
                <w:sz w:val="16"/>
              </w:rPr>
              <w:t xml:space="preserve">Stupeň </w:t>
            </w:r>
            <w:r>
              <w:rPr>
                <w:sz w:val="16"/>
              </w:rPr>
              <w:t>krytí</w:t>
            </w:r>
          </w:p>
        </w:tc>
      </w:tr>
      <w:tr>
        <w:tblPrEx>
          <w:tblW w:w="0" w:type="auto"/>
          <w:tblInd w:w="288" w:type="dxa"/>
          <w:tblLayout w:type="fixed"/>
          <w:tblLook w:val="01E0"/>
        </w:tblPrEx>
        <w:trPr>
          <w:trHeight w:val="727"/>
        </w:trPr>
        <w:tc>
          <w:tcPr>
            <w:tcW w:w="1275" w:type="dxa"/>
          </w:tcPr>
          <w:p>
            <w:pPr>
              <w:pStyle w:val="TableParagraph"/>
              <w:spacing w:before="4"/>
              <w:rPr>
                <w:b/>
                <w:sz w:val="9"/>
              </w:rPr>
            </w:pPr>
          </w:p>
          <w:p>
            <w:pPr>
              <w:pStyle w:val="TableParagraph"/>
              <w:ind w:left="323"/>
              <w:rPr>
                <w:sz w:val="20"/>
              </w:rPr>
            </w:pPr>
            <w:r>
              <w:rPr>
                <w:sz w:val="20"/>
              </w:rPr>
              <w:drawing>
                <wp:inline distT="0" distB="0" distL="0" distR="0">
                  <wp:extent cx="395879" cy="32766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xmlns:r="http://schemas.openxmlformats.org/officeDocument/2006/relationships" r:embed="rId20" cstate="print"/>
                          <a:stretch>
                            <a:fillRect/>
                          </a:stretch>
                        </pic:blipFill>
                        <pic:spPr>
                          <a:xfrm>
                            <a:off x="0" y="0"/>
                            <a:ext cx="395879" cy="327660"/>
                          </a:xfrm>
                          <a:prstGeom prst="rect">
                            <a:avLst/>
                          </a:prstGeom>
                        </pic:spPr>
                      </pic:pic>
                    </a:graphicData>
                  </a:graphic>
                </wp:inline>
              </w:drawing>
            </w:r>
          </w:p>
        </w:tc>
        <w:tc>
          <w:tcPr>
            <w:tcW w:w="2209" w:type="dxa"/>
          </w:tcPr>
          <w:p>
            <w:pPr>
              <w:pStyle w:val="TableParagraph"/>
              <w:spacing w:before="59"/>
              <w:rPr>
                <w:b/>
                <w:sz w:val="18"/>
              </w:rPr>
            </w:pPr>
          </w:p>
          <w:p>
            <w:pPr>
              <w:pStyle w:val="TableParagraph"/>
              <w:spacing w:before="1"/>
              <w:ind w:left="107"/>
              <w:rPr>
                <w:sz w:val="18"/>
              </w:rPr>
            </w:pPr>
            <w:r>
              <w:rPr>
                <w:spacing w:val="-2"/>
                <w:sz w:val="16"/>
              </w:rPr>
              <w:t>Varování</w:t>
            </w:r>
          </w:p>
        </w:tc>
        <w:tc>
          <w:tcPr>
            <w:tcW w:w="1232" w:type="dxa"/>
          </w:tcPr>
          <w:p>
            <w:pPr>
              <w:pStyle w:val="TableParagraph"/>
              <w:spacing w:before="57"/>
              <w:rPr>
                <w:b/>
                <w:sz w:val="20"/>
              </w:rPr>
            </w:pPr>
          </w:p>
          <w:p>
            <w:pPr>
              <w:pStyle w:val="TableParagraph"/>
              <w:ind w:left="339"/>
              <w:rPr>
                <w:sz w:val="20"/>
              </w:rPr>
            </w:pPr>
            <w:r>
              <w:rPr>
                <w:sz w:val="20"/>
              </w:rPr>
              <w:drawing>
                <wp:inline distT="0" distB="0" distL="0" distR="0">
                  <wp:extent cx="350520" cy="150875"/>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xmlns:r="http://schemas.openxmlformats.org/officeDocument/2006/relationships" r:embed="rId21" cstate="print"/>
                          <a:stretch>
                            <a:fillRect/>
                          </a:stretch>
                        </pic:blipFill>
                        <pic:spPr>
                          <a:xfrm>
                            <a:off x="0" y="0"/>
                            <a:ext cx="350520" cy="150875"/>
                          </a:xfrm>
                          <a:prstGeom prst="rect">
                            <a:avLst/>
                          </a:prstGeom>
                        </pic:spPr>
                      </pic:pic>
                    </a:graphicData>
                  </a:graphic>
                </wp:inline>
              </w:drawing>
            </w:r>
          </w:p>
        </w:tc>
        <w:tc>
          <w:tcPr>
            <w:tcW w:w="2257" w:type="dxa"/>
          </w:tcPr>
          <w:p>
            <w:pPr>
              <w:pStyle w:val="TableParagraph"/>
              <w:spacing w:before="59"/>
              <w:rPr>
                <w:b/>
                <w:sz w:val="18"/>
              </w:rPr>
            </w:pPr>
          </w:p>
          <w:p>
            <w:pPr>
              <w:pStyle w:val="TableParagraph"/>
              <w:spacing w:before="1"/>
              <w:ind w:left="467"/>
              <w:rPr>
                <w:sz w:val="18"/>
              </w:rPr>
            </w:pPr>
            <w:r>
              <w:rPr>
                <w:spacing w:val="-2"/>
                <w:sz w:val="16"/>
              </w:rPr>
              <w:t>AC/DC</w:t>
            </w:r>
          </w:p>
        </w:tc>
      </w:tr>
      <w:tr>
        <w:tblPrEx>
          <w:tblW w:w="0" w:type="auto"/>
          <w:tblInd w:w="288" w:type="dxa"/>
          <w:tblLayout w:type="fixed"/>
          <w:tblLook w:val="01E0"/>
        </w:tblPrEx>
        <w:trPr>
          <w:trHeight w:val="698"/>
        </w:trPr>
        <w:tc>
          <w:tcPr>
            <w:tcW w:w="1275" w:type="dxa"/>
          </w:tcPr>
          <w:p>
            <w:pPr>
              <w:pStyle w:val="TableParagraph"/>
              <w:spacing w:before="50"/>
              <w:rPr>
                <w:b/>
                <w:sz w:val="20"/>
              </w:rPr>
            </w:pPr>
          </w:p>
          <w:p>
            <w:pPr>
              <w:pStyle w:val="TableParagraph"/>
              <w:spacing w:line="120" w:lineRule="exact"/>
              <w:ind w:left="299"/>
              <w:rPr>
                <w:position w:val="-1"/>
                <w:sz w:val="12"/>
              </w:rPr>
            </w:pPr>
            <w:r>
              <w:rPr>
                <w:position w:val="-1"/>
                <w:sz w:val="12"/>
              </w:rPr>
              <w:drawing>
                <wp:inline distT="0" distB="0" distL="0" distR="0">
                  <wp:extent cx="381271" cy="7620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xmlns:r="http://schemas.openxmlformats.org/officeDocument/2006/relationships" r:embed="rId22" cstate="print"/>
                          <a:stretch>
                            <a:fillRect/>
                          </a:stretch>
                        </pic:blipFill>
                        <pic:spPr>
                          <a:xfrm>
                            <a:off x="0" y="0"/>
                            <a:ext cx="381271" cy="76200"/>
                          </a:xfrm>
                          <a:prstGeom prst="rect">
                            <a:avLst/>
                          </a:prstGeom>
                        </pic:spPr>
                      </pic:pic>
                    </a:graphicData>
                  </a:graphic>
                </wp:inline>
              </w:drawing>
            </w:r>
          </w:p>
        </w:tc>
        <w:tc>
          <w:tcPr>
            <w:tcW w:w="2209" w:type="dxa"/>
          </w:tcPr>
          <w:p>
            <w:pPr>
              <w:pStyle w:val="TableParagraph"/>
              <w:spacing w:before="45"/>
              <w:rPr>
                <w:b/>
                <w:sz w:val="18"/>
              </w:rPr>
            </w:pPr>
          </w:p>
          <w:p>
            <w:pPr>
              <w:pStyle w:val="TableParagraph"/>
              <w:ind w:left="107"/>
              <w:rPr>
                <w:sz w:val="18"/>
              </w:rPr>
            </w:pPr>
            <w:r>
              <w:rPr>
                <w:sz w:val="16"/>
              </w:rPr>
              <w:t xml:space="preserve">AC </w:t>
            </w:r>
            <w:r>
              <w:rPr>
                <w:sz w:val="16"/>
              </w:rPr>
              <w:t xml:space="preserve">(střídavý </w:t>
            </w:r>
            <w:r>
              <w:rPr>
                <w:spacing w:val="-2"/>
                <w:sz w:val="16"/>
              </w:rPr>
              <w:t>proud)</w:t>
            </w:r>
          </w:p>
        </w:tc>
        <w:tc>
          <w:tcPr>
            <w:tcW w:w="1232" w:type="dxa"/>
          </w:tcPr>
          <w:p>
            <w:pPr>
              <w:pStyle w:val="TableParagraph"/>
              <w:spacing w:before="3"/>
              <w:rPr>
                <w:b/>
                <w:sz w:val="17"/>
              </w:rPr>
            </w:pPr>
          </w:p>
          <w:p>
            <w:pPr>
              <w:pStyle w:val="TableParagraph"/>
              <w:ind w:left="279"/>
              <w:rPr>
                <w:sz w:val="20"/>
              </w:rPr>
            </w:pPr>
            <w:r>
              <w:rPr>
                <w:sz w:val="20"/>
              </w:rPr>
              <w:drawing>
                <wp:inline distT="0" distB="0" distL="0" distR="0">
                  <wp:extent cx="380661" cy="152400"/>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xmlns:r="http://schemas.openxmlformats.org/officeDocument/2006/relationships" r:embed="rId23" cstate="print"/>
                          <a:stretch>
                            <a:fillRect/>
                          </a:stretch>
                        </pic:blipFill>
                        <pic:spPr>
                          <a:xfrm>
                            <a:off x="0" y="0"/>
                            <a:ext cx="380661" cy="152400"/>
                          </a:xfrm>
                          <a:prstGeom prst="rect">
                            <a:avLst/>
                          </a:prstGeom>
                        </pic:spPr>
                      </pic:pic>
                    </a:graphicData>
                  </a:graphic>
                </wp:inline>
              </w:drawing>
            </w:r>
          </w:p>
        </w:tc>
        <w:tc>
          <w:tcPr>
            <w:tcW w:w="2257" w:type="dxa"/>
          </w:tcPr>
          <w:p>
            <w:pPr>
              <w:pStyle w:val="TableParagraph"/>
              <w:spacing w:before="45"/>
              <w:rPr>
                <w:b/>
                <w:sz w:val="18"/>
              </w:rPr>
            </w:pPr>
          </w:p>
          <w:p>
            <w:pPr>
              <w:pStyle w:val="TableParagraph"/>
              <w:ind w:left="107"/>
              <w:rPr>
                <w:sz w:val="18"/>
              </w:rPr>
            </w:pPr>
            <w:r>
              <w:rPr>
                <w:sz w:val="16"/>
              </w:rPr>
              <w:t xml:space="preserve">DC </w:t>
            </w:r>
            <w:r>
              <w:rPr>
                <w:sz w:val="16"/>
              </w:rPr>
              <w:t xml:space="preserve">(stejnosměrný </w:t>
            </w:r>
            <w:r>
              <w:rPr>
                <w:spacing w:val="-2"/>
                <w:sz w:val="16"/>
              </w:rPr>
              <w:t>proud)</w:t>
            </w:r>
          </w:p>
        </w:tc>
      </w:tr>
      <w:tr>
        <w:tblPrEx>
          <w:tblW w:w="0" w:type="auto"/>
          <w:tblInd w:w="288" w:type="dxa"/>
          <w:tblLayout w:type="fixed"/>
          <w:tblLook w:val="01E0"/>
        </w:tblPrEx>
        <w:trPr>
          <w:trHeight w:val="727"/>
        </w:trPr>
        <w:tc>
          <w:tcPr>
            <w:tcW w:w="1275" w:type="dxa"/>
          </w:tcPr>
          <w:p>
            <w:pPr>
              <w:pStyle w:val="TableParagraph"/>
              <w:spacing w:before="4"/>
              <w:rPr>
                <w:b/>
                <w:sz w:val="12"/>
              </w:rPr>
            </w:pPr>
          </w:p>
          <w:p>
            <w:pPr>
              <w:pStyle w:val="TableParagraph"/>
              <w:ind w:left="403"/>
              <w:rPr>
                <w:sz w:val="20"/>
              </w:rPr>
            </w:pPr>
            <w:r>
              <w:rPr>
                <w:sz w:val="20"/>
              </w:rPr>
              <w:drawing>
                <wp:inline distT="0" distB="0" distL="0" distR="0">
                  <wp:extent cx="298896" cy="282035"/>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xmlns:r="http://schemas.openxmlformats.org/officeDocument/2006/relationships" r:embed="rId24" cstate="print"/>
                          <a:stretch>
                            <a:fillRect/>
                          </a:stretch>
                        </pic:blipFill>
                        <pic:spPr>
                          <a:xfrm>
                            <a:off x="0" y="0"/>
                            <a:ext cx="298896" cy="282035"/>
                          </a:xfrm>
                          <a:prstGeom prst="rect">
                            <a:avLst/>
                          </a:prstGeom>
                        </pic:spPr>
                      </pic:pic>
                    </a:graphicData>
                  </a:graphic>
                </wp:inline>
              </w:drawing>
            </w:r>
          </w:p>
        </w:tc>
        <w:tc>
          <w:tcPr>
            <w:tcW w:w="2209" w:type="dxa"/>
          </w:tcPr>
          <w:p>
            <w:pPr>
              <w:pStyle w:val="TableParagraph"/>
              <w:spacing w:before="61"/>
              <w:rPr>
                <w:b/>
                <w:sz w:val="18"/>
              </w:rPr>
            </w:pPr>
          </w:p>
          <w:p>
            <w:pPr>
              <w:pStyle w:val="TableParagraph"/>
              <w:ind w:left="107"/>
              <w:rPr>
                <w:sz w:val="18"/>
              </w:rPr>
            </w:pPr>
            <w:r>
              <w:rPr>
                <w:sz w:val="16"/>
              </w:rPr>
              <w:t>Dat</w:t>
            </w:r>
            <w:r>
              <w:rPr>
                <w:sz w:val="16"/>
              </w:rPr>
              <w:t xml:space="preserve">um </w:t>
            </w:r>
            <w:r>
              <w:rPr>
                <w:spacing w:val="-2"/>
                <w:sz w:val="16"/>
              </w:rPr>
              <w:t>výroby</w:t>
            </w:r>
          </w:p>
        </w:tc>
        <w:tc>
          <w:tcPr>
            <w:tcW w:w="1232" w:type="dxa"/>
          </w:tcPr>
          <w:p>
            <w:pPr>
              <w:pStyle w:val="TableParagraph"/>
              <w:spacing w:before="11"/>
              <w:rPr>
                <w:b/>
                <w:sz w:val="6"/>
              </w:rPr>
            </w:pPr>
          </w:p>
          <w:p>
            <w:pPr>
              <w:pStyle w:val="TableParagraph"/>
              <w:ind w:left="316"/>
              <w:rPr>
                <w:sz w:val="20"/>
              </w:rPr>
            </w:pPr>
            <w:r>
              <w:rPr>
                <w:sz w:val="20"/>
              </w:rPr>
              <w:drawing>
                <wp:inline distT="0" distB="0" distL="0" distR="0">
                  <wp:extent cx="393320" cy="367284"/>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xmlns:r="http://schemas.openxmlformats.org/officeDocument/2006/relationships" r:embed="rId25" cstate="print"/>
                          <a:stretch>
                            <a:fillRect/>
                          </a:stretch>
                        </pic:blipFill>
                        <pic:spPr>
                          <a:xfrm>
                            <a:off x="0" y="0"/>
                            <a:ext cx="393320" cy="367284"/>
                          </a:xfrm>
                          <a:prstGeom prst="rect">
                            <a:avLst/>
                          </a:prstGeom>
                        </pic:spPr>
                      </pic:pic>
                    </a:graphicData>
                  </a:graphic>
                </wp:inline>
              </w:drawing>
            </w:r>
          </w:p>
        </w:tc>
        <w:tc>
          <w:tcPr>
            <w:tcW w:w="2257" w:type="dxa"/>
          </w:tcPr>
          <w:p>
            <w:pPr>
              <w:pStyle w:val="TableParagraph"/>
              <w:spacing w:before="148" w:line="278" w:lineRule="auto"/>
              <w:ind w:left="107" w:right="187"/>
              <w:rPr>
                <w:sz w:val="18"/>
              </w:rPr>
            </w:pPr>
            <w:r>
              <w:rPr>
                <w:sz w:val="16"/>
              </w:rPr>
              <w:t xml:space="preserve">Postupujte </w:t>
            </w:r>
            <w:r>
              <w:rPr>
                <w:sz w:val="16"/>
              </w:rPr>
              <w:t xml:space="preserve">podle </w:t>
            </w:r>
            <w:r>
              <w:rPr>
                <w:spacing w:val="-2"/>
                <w:sz w:val="16"/>
              </w:rPr>
              <w:t>návodu</w:t>
            </w:r>
            <w:r>
              <w:rPr>
                <w:sz w:val="16"/>
              </w:rPr>
              <w:t xml:space="preserve"> k obsluze</w:t>
            </w:r>
          </w:p>
        </w:tc>
      </w:tr>
      <w:tr>
        <w:tblPrEx>
          <w:tblW w:w="0" w:type="auto"/>
          <w:tblInd w:w="288" w:type="dxa"/>
          <w:tblLayout w:type="fixed"/>
          <w:tblLook w:val="01E0"/>
        </w:tblPrEx>
        <w:trPr>
          <w:trHeight w:val="741"/>
        </w:trPr>
        <w:tc>
          <w:tcPr>
            <w:tcW w:w="1275" w:type="dxa"/>
          </w:tcPr>
          <w:p>
            <w:pPr>
              <w:pStyle w:val="TableParagraph"/>
              <w:spacing w:before="3"/>
              <w:rPr>
                <w:b/>
                <w:sz w:val="13"/>
              </w:rPr>
            </w:pPr>
          </w:p>
          <w:p>
            <w:pPr>
              <w:pStyle w:val="TableParagraph"/>
              <w:ind w:left="427"/>
              <w:rPr>
                <w:sz w:val="20"/>
              </w:rPr>
            </w:pPr>
            <w:r>
              <w:rPr>
                <w:sz w:val="20"/>
              </w:rPr>
              <w:drawing>
                <wp:inline distT="0" distB="0" distL="0" distR="0">
                  <wp:extent cx="267799" cy="278511"/>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xmlns:r="http://schemas.openxmlformats.org/officeDocument/2006/relationships" r:embed="rId26" cstate="print"/>
                          <a:stretch>
                            <a:fillRect/>
                          </a:stretch>
                        </pic:blipFill>
                        <pic:spPr>
                          <a:xfrm>
                            <a:off x="0" y="0"/>
                            <a:ext cx="267799" cy="278511"/>
                          </a:xfrm>
                          <a:prstGeom prst="rect">
                            <a:avLst/>
                          </a:prstGeom>
                        </pic:spPr>
                      </pic:pic>
                    </a:graphicData>
                  </a:graphic>
                </wp:inline>
              </w:drawing>
            </w:r>
          </w:p>
        </w:tc>
        <w:tc>
          <w:tcPr>
            <w:tcW w:w="2209" w:type="dxa"/>
          </w:tcPr>
          <w:p>
            <w:pPr>
              <w:pStyle w:val="TableParagraph"/>
              <w:spacing w:before="67"/>
              <w:rPr>
                <w:b/>
                <w:sz w:val="18"/>
              </w:rPr>
            </w:pPr>
          </w:p>
          <w:p>
            <w:pPr>
              <w:pStyle w:val="TableParagraph"/>
              <w:ind w:left="107"/>
              <w:rPr>
                <w:sz w:val="18"/>
              </w:rPr>
            </w:pPr>
            <w:r>
              <w:rPr>
                <w:spacing w:val="-2"/>
                <w:sz w:val="16"/>
              </w:rPr>
              <w:t>Výrobce</w:t>
            </w:r>
          </w:p>
        </w:tc>
        <w:tc>
          <w:tcPr>
            <w:tcW w:w="1232" w:type="dxa"/>
          </w:tcPr>
          <w:p>
            <w:pPr>
              <w:pStyle w:val="TableParagraph"/>
              <w:spacing w:before="7" w:after="1"/>
              <w:rPr>
                <w:b/>
                <w:sz w:val="7"/>
              </w:rPr>
            </w:pPr>
          </w:p>
          <w:p>
            <w:pPr>
              <w:pStyle w:val="TableParagraph"/>
              <w:ind w:left="319"/>
              <w:rPr>
                <w:sz w:val="20"/>
              </w:rPr>
            </w:pPr>
            <w:r>
              <w:rPr>
                <w:sz w:val="20"/>
              </w:rPr>
              <w:drawing>
                <wp:inline distT="0" distB="0" distL="0" distR="0">
                  <wp:extent cx="381013" cy="36404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xmlns:r="http://schemas.openxmlformats.org/officeDocument/2006/relationships" r:embed="rId27" cstate="print"/>
                          <a:stretch>
                            <a:fillRect/>
                          </a:stretch>
                        </pic:blipFill>
                        <pic:spPr>
                          <a:xfrm>
                            <a:off x="0" y="0"/>
                            <a:ext cx="381013" cy="364045"/>
                          </a:xfrm>
                          <a:prstGeom prst="rect">
                            <a:avLst/>
                          </a:prstGeom>
                        </pic:spPr>
                      </pic:pic>
                    </a:graphicData>
                  </a:graphic>
                </wp:inline>
              </w:drawing>
            </w:r>
          </w:p>
        </w:tc>
        <w:tc>
          <w:tcPr>
            <w:tcW w:w="2257" w:type="dxa"/>
          </w:tcPr>
          <w:p>
            <w:pPr>
              <w:pStyle w:val="TableParagraph"/>
              <w:spacing w:before="154"/>
              <w:ind w:left="107"/>
              <w:rPr>
                <w:sz w:val="18"/>
              </w:rPr>
            </w:pPr>
            <w:r>
              <w:rPr>
                <w:sz w:val="16"/>
              </w:rPr>
              <w:t xml:space="preserve">Likvidujte </w:t>
            </w:r>
            <w:r>
              <w:rPr>
                <w:spacing w:val="-2"/>
                <w:sz w:val="16"/>
              </w:rPr>
              <w:t>pomocí</w:t>
            </w:r>
          </w:p>
          <w:p>
            <w:pPr>
              <w:pStyle w:val="TableParagraph"/>
              <w:spacing w:before="33"/>
              <w:ind w:left="107"/>
              <w:rPr>
                <w:sz w:val="18"/>
              </w:rPr>
            </w:pPr>
            <w:r>
              <w:rPr>
                <w:sz w:val="16"/>
              </w:rPr>
              <w:t xml:space="preserve">neznečišťujícími </w:t>
            </w:r>
            <w:r>
              <w:rPr>
                <w:spacing w:val="-2"/>
                <w:sz w:val="16"/>
              </w:rPr>
              <w:t>metodami</w:t>
            </w:r>
          </w:p>
        </w:tc>
      </w:tr>
    </w:tbl>
    <w:p>
      <w:pPr>
        <w:pStyle w:val="TableParagraph"/>
        <w:spacing w:after="0"/>
        <w:rPr>
          <w:sz w:val="18"/>
        </w:rPr>
        <w:sectPr>
          <w:pgSz w:w="8390" w:h="11910"/>
          <w:pgMar w:top="700" w:right="425" w:bottom="540" w:left="425" w:header="0" w:footer="342"/>
          <w:cols w:space="708"/>
        </w:sectPr>
      </w:pPr>
    </w:p>
    <w:tbl>
      <w:tblPr>
        <w:tblStyle w:val="TableNormal"/>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5"/>
        <w:gridCol w:w="2209"/>
        <w:gridCol w:w="1232"/>
        <w:gridCol w:w="2257"/>
      </w:tblGrid>
      <w:tr>
        <w:tblPrEx>
          <w:tblW w:w="0" w:type="auto"/>
          <w:tblInd w:w="288" w:type="dxa"/>
          <w:tblLayout w:type="fixed"/>
          <w:tblLook w:val="01E0"/>
        </w:tblPrEx>
        <w:trPr>
          <w:trHeight w:val="858"/>
        </w:trPr>
        <w:tc>
          <w:tcPr>
            <w:tcW w:w="1275" w:type="dxa"/>
          </w:tcPr>
          <w:p>
            <w:pPr>
              <w:pStyle w:val="TableParagraph"/>
              <w:spacing w:before="86"/>
              <w:rPr>
                <w:b/>
                <w:sz w:val="20"/>
              </w:rPr>
            </w:pPr>
          </w:p>
          <w:p>
            <w:pPr>
              <w:pStyle w:val="TableParagraph"/>
              <w:spacing w:line="234" w:lineRule="exact"/>
              <w:ind w:left="278"/>
              <w:rPr>
                <w:position w:val="-4"/>
                <w:sz w:val="20"/>
              </w:rPr>
            </w:pPr>
            <w:r>
              <w:rPr>
                <w:position w:val="-4"/>
                <w:sz w:val="20"/>
              </w:rPr>
              <w:drawing>
                <wp:inline distT="0" distB="0" distL="0" distR="0">
                  <wp:extent cx="466103" cy="148590"/>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xmlns:r="http://schemas.openxmlformats.org/officeDocument/2006/relationships" r:embed="rId12" cstate="print"/>
                          <a:stretch>
                            <a:fillRect/>
                          </a:stretch>
                        </pic:blipFill>
                        <pic:spPr>
                          <a:xfrm>
                            <a:off x="0" y="0"/>
                            <a:ext cx="466103" cy="148590"/>
                          </a:xfrm>
                          <a:prstGeom prst="rect">
                            <a:avLst/>
                          </a:prstGeom>
                        </pic:spPr>
                      </pic:pic>
                    </a:graphicData>
                  </a:graphic>
                </wp:inline>
              </w:drawing>
            </w:r>
          </w:p>
        </w:tc>
        <w:tc>
          <w:tcPr>
            <w:tcW w:w="2209" w:type="dxa"/>
          </w:tcPr>
          <w:p>
            <w:pPr>
              <w:pStyle w:val="TableParagraph"/>
              <w:spacing w:before="4"/>
              <w:rPr>
                <w:b/>
                <w:sz w:val="18"/>
              </w:rPr>
            </w:pPr>
          </w:p>
          <w:p>
            <w:pPr>
              <w:pStyle w:val="TableParagraph"/>
              <w:spacing w:before="1" w:line="278" w:lineRule="auto"/>
              <w:ind w:left="107" w:right="189"/>
              <w:rPr>
                <w:sz w:val="18"/>
              </w:rPr>
            </w:pPr>
            <w:r>
              <w:rPr>
                <w:spacing w:val="-4"/>
                <w:sz w:val="16"/>
              </w:rPr>
              <w:t>Ikona</w:t>
            </w:r>
            <w:r>
              <w:rPr>
                <w:sz w:val="16"/>
              </w:rPr>
              <w:t xml:space="preserve"> indikátoru </w:t>
            </w:r>
            <w:r>
              <w:rPr>
                <w:sz w:val="16"/>
              </w:rPr>
              <w:t xml:space="preserve">stavu </w:t>
            </w:r>
            <w:r>
              <w:rPr>
                <w:sz w:val="16"/>
              </w:rPr>
              <w:t>baterie</w:t>
            </w:r>
          </w:p>
        </w:tc>
        <w:tc>
          <w:tcPr>
            <w:tcW w:w="1232" w:type="dxa"/>
          </w:tcPr>
          <w:p>
            <w:pPr>
              <w:pStyle w:val="TableParagraph"/>
              <w:spacing w:before="1" w:after="1"/>
              <w:rPr>
                <w:b/>
                <w:sz w:val="20"/>
              </w:rPr>
            </w:pPr>
          </w:p>
          <w:p>
            <w:pPr>
              <w:pStyle w:val="TableParagraph"/>
              <w:ind w:left="311"/>
              <w:rPr>
                <w:sz w:val="20"/>
              </w:rPr>
            </w:pPr>
            <w:r>
              <w:rPr>
                <w:sz w:val="20"/>
              </w:rPr>
              <w:drawing>
                <wp:inline distT="0" distB="0" distL="0" distR="0">
                  <wp:extent cx="367406" cy="253746"/>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xmlns:r="http://schemas.openxmlformats.org/officeDocument/2006/relationships" r:embed="rId28" cstate="print"/>
                          <a:stretch>
                            <a:fillRect/>
                          </a:stretch>
                        </pic:blipFill>
                        <pic:spPr>
                          <a:xfrm>
                            <a:off x="0" y="0"/>
                            <a:ext cx="367406" cy="253746"/>
                          </a:xfrm>
                          <a:prstGeom prst="rect">
                            <a:avLst/>
                          </a:prstGeom>
                        </pic:spPr>
                      </pic:pic>
                    </a:graphicData>
                  </a:graphic>
                </wp:inline>
              </w:drawing>
            </w:r>
          </w:p>
        </w:tc>
        <w:tc>
          <w:tcPr>
            <w:tcW w:w="2257" w:type="dxa"/>
          </w:tcPr>
          <w:p>
            <w:pPr>
              <w:pStyle w:val="TableParagraph"/>
              <w:spacing w:before="124"/>
              <w:rPr>
                <w:b/>
                <w:sz w:val="18"/>
              </w:rPr>
            </w:pPr>
          </w:p>
          <w:p>
            <w:pPr>
              <w:pStyle w:val="TableParagraph"/>
              <w:spacing w:before="1"/>
              <w:ind w:left="107"/>
              <w:rPr>
                <w:sz w:val="18"/>
              </w:rPr>
            </w:pPr>
            <w:r>
              <w:rPr>
                <w:spacing w:val="-4"/>
                <w:sz w:val="16"/>
              </w:rPr>
              <w:t xml:space="preserve">Ikona </w:t>
            </w:r>
            <w:r>
              <w:rPr>
                <w:sz w:val="16"/>
              </w:rPr>
              <w:t xml:space="preserve">indikátoru </w:t>
            </w:r>
            <w:r>
              <w:rPr>
                <w:sz w:val="16"/>
              </w:rPr>
              <w:t>tlaku</w:t>
            </w:r>
          </w:p>
        </w:tc>
      </w:tr>
      <w:tr>
        <w:tblPrEx>
          <w:tblW w:w="0" w:type="auto"/>
          <w:tblInd w:w="288" w:type="dxa"/>
          <w:tblLayout w:type="fixed"/>
          <w:tblLook w:val="01E0"/>
        </w:tblPrEx>
        <w:trPr>
          <w:trHeight w:val="797"/>
        </w:trPr>
        <w:tc>
          <w:tcPr>
            <w:tcW w:w="1275" w:type="dxa"/>
          </w:tcPr>
          <w:p>
            <w:pPr>
              <w:pStyle w:val="TableParagraph"/>
              <w:spacing w:before="11"/>
              <w:rPr>
                <w:b/>
                <w:sz w:val="9"/>
              </w:rPr>
            </w:pPr>
          </w:p>
          <w:p>
            <w:pPr>
              <w:pStyle w:val="TableParagraph"/>
              <w:ind w:left="405"/>
              <w:rPr>
                <w:sz w:val="20"/>
              </w:rPr>
            </w:pPr>
            <w:r>
              <w:rPr>
                <w:sz w:val="20"/>
              </w:rPr>
              <w:drawing>
                <wp:inline distT="0" distB="0" distL="0" distR="0">
                  <wp:extent cx="288813" cy="361568"/>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xmlns:r="http://schemas.openxmlformats.org/officeDocument/2006/relationships" r:embed="rId15" cstate="print"/>
                          <a:stretch>
                            <a:fillRect/>
                          </a:stretch>
                        </pic:blipFill>
                        <pic:spPr>
                          <a:xfrm>
                            <a:off x="0" y="0"/>
                            <a:ext cx="288813" cy="361568"/>
                          </a:xfrm>
                          <a:prstGeom prst="rect">
                            <a:avLst/>
                          </a:prstGeom>
                        </pic:spPr>
                      </pic:pic>
                    </a:graphicData>
                  </a:graphic>
                </wp:inline>
              </w:drawing>
            </w:r>
          </w:p>
        </w:tc>
        <w:tc>
          <w:tcPr>
            <w:tcW w:w="2209" w:type="dxa"/>
          </w:tcPr>
          <w:p>
            <w:pPr>
              <w:pStyle w:val="TableParagraph"/>
              <w:spacing w:before="183" w:line="278" w:lineRule="auto"/>
              <w:ind w:left="107" w:right="189"/>
              <w:rPr>
                <w:sz w:val="18"/>
              </w:rPr>
            </w:pPr>
            <w:r>
              <w:rPr>
                <w:sz w:val="16"/>
              </w:rPr>
              <w:t xml:space="preserve">Ikona indikátoru </w:t>
            </w:r>
            <w:r>
              <w:rPr>
                <w:sz w:val="16"/>
              </w:rPr>
              <w:t xml:space="preserve">napájení </w:t>
            </w:r>
            <w:r>
              <w:rPr>
                <w:sz w:val="16"/>
              </w:rPr>
              <w:t>ze sítě</w:t>
            </w:r>
          </w:p>
        </w:tc>
        <w:tc>
          <w:tcPr>
            <w:tcW w:w="1232" w:type="dxa"/>
          </w:tcPr>
          <w:p>
            <w:pPr>
              <w:pStyle w:val="TableParagraph"/>
              <w:spacing w:before="11"/>
              <w:rPr>
                <w:b/>
                <w:sz w:val="9"/>
              </w:rPr>
            </w:pPr>
          </w:p>
          <w:p>
            <w:pPr>
              <w:pStyle w:val="TableParagraph"/>
              <w:ind w:left="322"/>
              <w:rPr>
                <w:sz w:val="20"/>
              </w:rPr>
            </w:pPr>
            <w:r>
              <w:rPr>
                <w:sz w:val="20"/>
              </w:rPr>
              <w:drawing>
                <wp:inline distT="0" distB="0" distL="0" distR="0">
                  <wp:extent cx="359841" cy="348043"/>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xmlns:r="http://schemas.openxmlformats.org/officeDocument/2006/relationships" r:embed="rId29" cstate="print"/>
                          <a:stretch>
                            <a:fillRect/>
                          </a:stretch>
                        </pic:blipFill>
                        <pic:spPr>
                          <a:xfrm>
                            <a:off x="0" y="0"/>
                            <a:ext cx="359841" cy="348043"/>
                          </a:xfrm>
                          <a:prstGeom prst="rect">
                            <a:avLst/>
                          </a:prstGeom>
                        </pic:spPr>
                      </pic:pic>
                    </a:graphicData>
                  </a:graphic>
                </wp:inline>
              </w:drawing>
            </w:r>
          </w:p>
        </w:tc>
        <w:tc>
          <w:tcPr>
            <w:tcW w:w="2257" w:type="dxa"/>
          </w:tcPr>
          <w:p>
            <w:pPr>
              <w:pStyle w:val="TableParagraph"/>
              <w:spacing w:before="95"/>
              <w:rPr>
                <w:b/>
                <w:sz w:val="18"/>
              </w:rPr>
            </w:pPr>
          </w:p>
          <w:p>
            <w:pPr>
              <w:pStyle w:val="TableParagraph"/>
              <w:spacing w:before="1"/>
              <w:ind w:left="107"/>
              <w:rPr>
                <w:sz w:val="18"/>
              </w:rPr>
            </w:pPr>
            <w:r>
              <w:rPr>
                <w:spacing w:val="-2"/>
                <w:sz w:val="16"/>
              </w:rPr>
              <w:t xml:space="preserve">Úroveň </w:t>
            </w:r>
            <w:r>
              <w:rPr>
                <w:spacing w:val="-4"/>
                <w:sz w:val="16"/>
              </w:rPr>
              <w:t>hlasitosti</w:t>
            </w:r>
          </w:p>
        </w:tc>
      </w:tr>
      <w:tr>
        <w:tblPrEx>
          <w:tblW w:w="0" w:type="auto"/>
          <w:tblInd w:w="288" w:type="dxa"/>
          <w:tblLayout w:type="fixed"/>
          <w:tblLook w:val="01E0"/>
        </w:tblPrEx>
        <w:trPr>
          <w:trHeight w:val="716"/>
        </w:trPr>
        <w:tc>
          <w:tcPr>
            <w:tcW w:w="1275" w:type="dxa"/>
          </w:tcPr>
          <w:p>
            <w:pPr>
              <w:pStyle w:val="TableParagraph"/>
              <w:rPr>
                <w:b/>
                <w:sz w:val="7"/>
              </w:rPr>
            </w:pPr>
          </w:p>
          <w:p>
            <w:pPr>
              <w:pStyle w:val="TableParagraph"/>
              <w:ind w:left="341"/>
              <w:rPr>
                <w:sz w:val="20"/>
              </w:rPr>
            </w:pPr>
            <w:r>
              <w:rPr>
                <w:sz w:val="20"/>
              </w:rPr>
              <w:drawing>
                <wp:inline distT="0" distB="0" distL="0" distR="0">
                  <wp:extent cx="399442" cy="359568"/>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xmlns:r="http://schemas.openxmlformats.org/officeDocument/2006/relationships" r:embed="rId30" cstate="print"/>
                          <a:stretch>
                            <a:fillRect/>
                          </a:stretch>
                        </pic:blipFill>
                        <pic:spPr>
                          <a:xfrm>
                            <a:off x="0" y="0"/>
                            <a:ext cx="399442" cy="359568"/>
                          </a:xfrm>
                          <a:prstGeom prst="rect">
                            <a:avLst/>
                          </a:prstGeom>
                        </pic:spPr>
                      </pic:pic>
                    </a:graphicData>
                  </a:graphic>
                </wp:inline>
              </w:drawing>
            </w:r>
          </w:p>
        </w:tc>
        <w:tc>
          <w:tcPr>
            <w:tcW w:w="2209" w:type="dxa"/>
          </w:tcPr>
          <w:p>
            <w:pPr>
              <w:pStyle w:val="TableParagraph"/>
              <w:spacing w:before="54"/>
              <w:rPr>
                <w:b/>
                <w:sz w:val="18"/>
              </w:rPr>
            </w:pPr>
          </w:p>
          <w:p>
            <w:pPr>
              <w:pStyle w:val="TableParagraph"/>
              <w:ind w:left="107"/>
              <w:rPr>
                <w:sz w:val="18"/>
              </w:rPr>
            </w:pPr>
            <w:r>
              <w:rPr>
                <w:sz w:val="16"/>
              </w:rPr>
              <w:t xml:space="preserve">Neionizující </w:t>
            </w:r>
            <w:r>
              <w:rPr>
                <w:spacing w:val="-2"/>
                <w:sz w:val="16"/>
              </w:rPr>
              <w:t>záření</w:t>
            </w:r>
          </w:p>
        </w:tc>
        <w:tc>
          <w:tcPr>
            <w:tcW w:w="1232" w:type="dxa"/>
          </w:tcPr>
          <w:p>
            <w:pPr>
              <w:pStyle w:val="TableParagraph"/>
              <w:spacing w:before="10"/>
              <w:rPr>
                <w:b/>
                <w:sz w:val="8"/>
              </w:rPr>
            </w:pPr>
          </w:p>
          <w:p>
            <w:pPr>
              <w:pStyle w:val="TableParagraph"/>
              <w:ind w:left="375"/>
              <w:rPr>
                <w:sz w:val="20"/>
              </w:rPr>
            </w:pPr>
            <w:r>
              <w:rPr>
                <w:sz w:val="20"/>
              </w:rPr>
              <w:drawing>
                <wp:inline distT="0" distB="0" distL="0" distR="0">
                  <wp:extent cx="304176" cy="310896"/>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xmlns:r="http://schemas.openxmlformats.org/officeDocument/2006/relationships" r:embed="rId31" cstate="print"/>
                          <a:stretch>
                            <a:fillRect/>
                          </a:stretch>
                        </pic:blipFill>
                        <pic:spPr>
                          <a:xfrm>
                            <a:off x="0" y="0"/>
                            <a:ext cx="304176" cy="310896"/>
                          </a:xfrm>
                          <a:prstGeom prst="rect">
                            <a:avLst/>
                          </a:prstGeom>
                        </pic:spPr>
                      </pic:pic>
                    </a:graphicData>
                  </a:graphic>
                </wp:inline>
              </w:drawing>
            </w:r>
          </w:p>
        </w:tc>
        <w:tc>
          <w:tcPr>
            <w:tcW w:w="2257" w:type="dxa"/>
          </w:tcPr>
          <w:p>
            <w:pPr>
              <w:pStyle w:val="TableParagraph"/>
              <w:spacing w:before="54"/>
              <w:rPr>
                <w:b/>
                <w:sz w:val="18"/>
              </w:rPr>
            </w:pPr>
          </w:p>
          <w:p>
            <w:pPr>
              <w:pStyle w:val="TableParagraph"/>
              <w:ind w:left="107"/>
              <w:rPr>
                <w:sz w:val="18"/>
              </w:rPr>
            </w:pPr>
            <w:r>
              <w:rPr>
                <w:sz w:val="16"/>
              </w:rPr>
              <w:t xml:space="preserve">Noční </w:t>
            </w:r>
            <w:r>
              <w:rPr>
                <w:spacing w:val="-4"/>
                <w:sz w:val="16"/>
              </w:rPr>
              <w:t>režim</w:t>
            </w:r>
          </w:p>
        </w:tc>
      </w:tr>
      <w:tr>
        <w:tblPrEx>
          <w:tblW w:w="0" w:type="auto"/>
          <w:tblInd w:w="288" w:type="dxa"/>
          <w:tblLayout w:type="fixed"/>
          <w:tblLook w:val="01E0"/>
        </w:tblPrEx>
        <w:trPr>
          <w:trHeight w:val="690"/>
        </w:trPr>
        <w:tc>
          <w:tcPr>
            <w:tcW w:w="1275" w:type="dxa"/>
          </w:tcPr>
          <w:p>
            <w:pPr>
              <w:pStyle w:val="TableParagraph"/>
              <w:spacing w:before="5"/>
              <w:rPr>
                <w:b/>
                <w:sz w:val="5"/>
              </w:rPr>
            </w:pPr>
          </w:p>
          <w:p>
            <w:pPr>
              <w:pStyle w:val="TableParagraph"/>
              <w:ind w:left="398"/>
              <w:rPr>
                <w:sz w:val="20"/>
              </w:rPr>
            </w:pPr>
            <w:r>
              <w:rPr>
                <w:sz w:val="20"/>
              </w:rPr>
              <w:drawing>
                <wp:inline distT="0" distB="0" distL="0" distR="0">
                  <wp:extent cx="303115" cy="359473"/>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xmlns:r="http://schemas.openxmlformats.org/officeDocument/2006/relationships" r:embed="rId32" cstate="print"/>
                          <a:stretch>
                            <a:fillRect/>
                          </a:stretch>
                        </pic:blipFill>
                        <pic:spPr>
                          <a:xfrm>
                            <a:off x="0" y="0"/>
                            <a:ext cx="303115" cy="359473"/>
                          </a:xfrm>
                          <a:prstGeom prst="rect">
                            <a:avLst/>
                          </a:prstGeom>
                        </pic:spPr>
                      </pic:pic>
                    </a:graphicData>
                  </a:graphic>
                </wp:inline>
              </w:drawing>
            </w:r>
          </w:p>
        </w:tc>
        <w:tc>
          <w:tcPr>
            <w:tcW w:w="2209" w:type="dxa"/>
          </w:tcPr>
          <w:p>
            <w:pPr>
              <w:pStyle w:val="TableParagraph"/>
              <w:spacing w:before="41"/>
              <w:rPr>
                <w:b/>
                <w:sz w:val="18"/>
              </w:rPr>
            </w:pPr>
          </w:p>
          <w:p>
            <w:pPr>
              <w:pStyle w:val="TableParagraph"/>
              <w:ind w:left="107"/>
              <w:rPr>
                <w:sz w:val="18"/>
              </w:rPr>
            </w:pPr>
            <w:r>
              <w:rPr>
                <w:spacing w:val="-5"/>
                <w:sz w:val="16"/>
              </w:rPr>
              <w:t xml:space="preserve">Klávesa </w:t>
            </w:r>
            <w:r>
              <w:rPr>
                <w:sz w:val="16"/>
              </w:rPr>
              <w:t>zámku</w:t>
            </w:r>
          </w:p>
        </w:tc>
        <w:tc>
          <w:tcPr>
            <w:tcW w:w="1232" w:type="dxa"/>
          </w:tcPr>
          <w:p>
            <w:pPr>
              <w:pStyle w:val="TableParagraph"/>
              <w:spacing w:before="11"/>
              <w:rPr>
                <w:b/>
                <w:sz w:val="8"/>
              </w:rPr>
            </w:pPr>
          </w:p>
          <w:p>
            <w:pPr>
              <w:pStyle w:val="TableParagraph"/>
              <w:ind w:left="351"/>
              <w:rPr>
                <w:sz w:val="20"/>
              </w:rPr>
            </w:pPr>
            <w:r>
              <w:rPr>
                <w:sz w:val="20"/>
              </w:rPr>
              <w:drawing>
                <wp:inline distT="0" distB="0" distL="0" distR="0">
                  <wp:extent cx="336218" cy="300037"/>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xmlns:r="http://schemas.openxmlformats.org/officeDocument/2006/relationships" r:embed="rId33" cstate="print"/>
                          <a:stretch>
                            <a:fillRect/>
                          </a:stretch>
                        </pic:blipFill>
                        <pic:spPr>
                          <a:xfrm>
                            <a:off x="0" y="0"/>
                            <a:ext cx="336218" cy="300037"/>
                          </a:xfrm>
                          <a:prstGeom prst="rect">
                            <a:avLst/>
                          </a:prstGeom>
                        </pic:spPr>
                      </pic:pic>
                    </a:graphicData>
                  </a:graphic>
                </wp:inline>
              </w:drawing>
            </w:r>
          </w:p>
        </w:tc>
        <w:tc>
          <w:tcPr>
            <w:tcW w:w="2257" w:type="dxa"/>
          </w:tcPr>
          <w:p>
            <w:pPr>
              <w:pStyle w:val="TableParagraph"/>
              <w:spacing w:before="41"/>
              <w:rPr>
                <w:b/>
                <w:sz w:val="18"/>
              </w:rPr>
            </w:pPr>
          </w:p>
          <w:p>
            <w:pPr>
              <w:pStyle w:val="TableParagraph"/>
              <w:ind w:left="107"/>
              <w:rPr>
                <w:sz w:val="18"/>
              </w:rPr>
            </w:pPr>
            <w:r>
              <w:rPr>
                <w:spacing w:val="-4"/>
                <w:sz w:val="16"/>
              </w:rPr>
              <w:t>WIFI</w:t>
            </w:r>
          </w:p>
        </w:tc>
      </w:tr>
      <w:tr>
        <w:tblPrEx>
          <w:tblW w:w="0" w:type="auto"/>
          <w:tblInd w:w="288" w:type="dxa"/>
          <w:tblLayout w:type="fixed"/>
          <w:tblLook w:val="01E0"/>
        </w:tblPrEx>
        <w:trPr>
          <w:trHeight w:val="934"/>
        </w:trPr>
        <w:tc>
          <w:tcPr>
            <w:tcW w:w="1275" w:type="dxa"/>
          </w:tcPr>
          <w:p>
            <w:pPr>
              <w:pStyle w:val="TableParagraph"/>
              <w:rPr>
                <w:b/>
                <w:sz w:val="6"/>
              </w:rPr>
            </w:pPr>
          </w:p>
          <w:p>
            <w:pPr>
              <w:pStyle w:val="TableParagraph"/>
              <w:ind w:left="247"/>
              <w:rPr>
                <w:sz w:val="20"/>
              </w:rPr>
            </w:pPr>
            <w:r>
              <w:rPr>
                <w:sz w:val="20"/>
              </w:rPr>
              <w:drawing>
                <wp:inline distT="0" distB="0" distL="0" distR="0">
                  <wp:extent cx="493598" cy="490727"/>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xmlns:r="http://schemas.openxmlformats.org/officeDocument/2006/relationships" r:embed="rId34" cstate="print"/>
                          <a:stretch>
                            <a:fillRect/>
                          </a:stretch>
                        </pic:blipFill>
                        <pic:spPr>
                          <a:xfrm>
                            <a:off x="0" y="0"/>
                            <a:ext cx="493598" cy="490727"/>
                          </a:xfrm>
                          <a:prstGeom prst="rect">
                            <a:avLst/>
                          </a:prstGeom>
                        </pic:spPr>
                      </pic:pic>
                    </a:graphicData>
                  </a:graphic>
                </wp:inline>
              </w:drawing>
            </w:r>
          </w:p>
        </w:tc>
        <w:tc>
          <w:tcPr>
            <w:tcW w:w="2209" w:type="dxa"/>
          </w:tcPr>
          <w:p>
            <w:pPr>
              <w:pStyle w:val="TableParagraph"/>
              <w:spacing w:before="43"/>
              <w:rPr>
                <w:b/>
                <w:sz w:val="18"/>
              </w:rPr>
            </w:pPr>
          </w:p>
          <w:p>
            <w:pPr>
              <w:pStyle w:val="TableParagraph"/>
              <w:spacing w:line="278" w:lineRule="auto"/>
              <w:ind w:left="107" w:right="189"/>
              <w:rPr>
                <w:sz w:val="18"/>
              </w:rPr>
            </w:pPr>
            <w:r>
              <w:rPr>
                <w:spacing w:val="-2"/>
                <w:sz w:val="16"/>
              </w:rPr>
              <w:t xml:space="preserve">Přepravní </w:t>
            </w:r>
            <w:r>
              <w:rPr>
                <w:spacing w:val="-2"/>
                <w:sz w:val="16"/>
              </w:rPr>
              <w:t xml:space="preserve">obal </w:t>
            </w:r>
            <w:r>
              <w:rPr>
                <w:sz w:val="16"/>
              </w:rPr>
              <w:t>citlivý na déšť</w:t>
            </w:r>
          </w:p>
        </w:tc>
        <w:tc>
          <w:tcPr>
            <w:tcW w:w="1232" w:type="dxa"/>
          </w:tcPr>
          <w:p>
            <w:pPr>
              <w:pStyle w:val="TableParagraph"/>
              <w:rPr>
                <w:b/>
                <w:sz w:val="6"/>
              </w:rPr>
            </w:pPr>
          </w:p>
          <w:p>
            <w:pPr>
              <w:pStyle w:val="TableParagraph"/>
              <w:ind w:left="219"/>
              <w:rPr>
                <w:sz w:val="20"/>
              </w:rPr>
            </w:pPr>
            <w:r>
              <w:rPr>
                <w:sz w:val="20"/>
              </w:rPr>
              <w:drawing>
                <wp:inline distT="0" distB="0" distL="0" distR="0">
                  <wp:extent cx="500062" cy="500062"/>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xmlns:r="http://schemas.openxmlformats.org/officeDocument/2006/relationships" r:embed="rId35" cstate="print"/>
                          <a:stretch>
                            <a:fillRect/>
                          </a:stretch>
                        </pic:blipFill>
                        <pic:spPr>
                          <a:xfrm>
                            <a:off x="0" y="0"/>
                            <a:ext cx="500062" cy="500062"/>
                          </a:xfrm>
                          <a:prstGeom prst="rect">
                            <a:avLst/>
                          </a:prstGeom>
                        </pic:spPr>
                      </pic:pic>
                    </a:graphicData>
                  </a:graphic>
                </wp:inline>
              </w:drawing>
            </w:r>
          </w:p>
        </w:tc>
        <w:tc>
          <w:tcPr>
            <w:tcW w:w="2257" w:type="dxa"/>
          </w:tcPr>
          <w:p>
            <w:pPr>
              <w:pStyle w:val="TableParagraph"/>
              <w:spacing w:before="130" w:line="278" w:lineRule="auto"/>
              <w:ind w:left="107" w:right="187"/>
              <w:rPr>
                <w:sz w:val="18"/>
              </w:rPr>
            </w:pPr>
            <w:r>
              <w:rPr>
                <w:sz w:val="16"/>
              </w:rPr>
              <w:t xml:space="preserve">Okolní </w:t>
            </w:r>
            <w:r>
              <w:rPr>
                <w:sz w:val="16"/>
              </w:rPr>
              <w:t xml:space="preserve">teplota </w:t>
            </w:r>
            <w:r>
              <w:rPr>
                <w:sz w:val="16"/>
              </w:rPr>
              <w:t xml:space="preserve">přepravního </w:t>
            </w:r>
            <w:r>
              <w:rPr>
                <w:sz w:val="16"/>
              </w:rPr>
              <w:t>balení</w:t>
            </w:r>
          </w:p>
          <w:p>
            <w:pPr>
              <w:pStyle w:val="TableParagraph"/>
              <w:spacing w:line="274" w:lineRule="exact"/>
              <w:ind w:left="107"/>
              <w:rPr>
                <w:sz w:val="18"/>
              </w:rPr>
            </w:pPr>
            <w:r>
              <w:rPr>
                <w:spacing w:val="-2"/>
                <w:sz w:val="16"/>
              </w:rPr>
              <w:t xml:space="preserve">-30 °C </w:t>
            </w:r>
            <w:r>
              <w:rPr>
                <w:rFonts w:ascii="Noto Sans CJK JP" w:eastAsia="Noto Sans CJK JP" w:hAnsi="Noto Sans CJK JP"/>
                <w:spacing w:val="-2"/>
                <w:sz w:val="16"/>
              </w:rPr>
              <w:t>až</w:t>
            </w:r>
            <w:r>
              <w:rPr>
                <w:spacing w:val="-2"/>
                <w:sz w:val="16"/>
              </w:rPr>
              <w:t xml:space="preserve"> 70 °C</w:t>
            </w:r>
          </w:p>
        </w:tc>
      </w:tr>
      <w:tr>
        <w:tblPrEx>
          <w:tblW w:w="0" w:type="auto"/>
          <w:tblInd w:w="288" w:type="dxa"/>
          <w:tblLayout w:type="fixed"/>
          <w:tblLook w:val="01E0"/>
        </w:tblPrEx>
        <w:trPr>
          <w:trHeight w:val="917"/>
        </w:trPr>
        <w:tc>
          <w:tcPr>
            <w:tcW w:w="1275" w:type="dxa"/>
          </w:tcPr>
          <w:p>
            <w:pPr>
              <w:pStyle w:val="TableParagraph"/>
              <w:spacing w:before="4"/>
              <w:rPr>
                <w:b/>
                <w:sz w:val="5"/>
              </w:rPr>
            </w:pPr>
          </w:p>
          <w:p>
            <w:pPr>
              <w:pStyle w:val="TableParagraph"/>
              <w:ind w:left="271"/>
              <w:rPr>
                <w:sz w:val="20"/>
              </w:rPr>
            </w:pPr>
            <w:r>
              <w:rPr>
                <w:sz w:val="20"/>
              </w:rPr>
              <w:drawing>
                <wp:inline distT="0" distB="0" distL="0" distR="0">
                  <wp:extent cx="469716" cy="490727"/>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xmlns:r="http://schemas.openxmlformats.org/officeDocument/2006/relationships" r:embed="rId36" cstate="print"/>
                          <a:stretch>
                            <a:fillRect/>
                          </a:stretch>
                        </pic:blipFill>
                        <pic:spPr>
                          <a:xfrm>
                            <a:off x="0" y="0"/>
                            <a:ext cx="469716" cy="490727"/>
                          </a:xfrm>
                          <a:prstGeom prst="rect">
                            <a:avLst/>
                          </a:prstGeom>
                        </pic:spPr>
                      </pic:pic>
                    </a:graphicData>
                  </a:graphic>
                </wp:inline>
              </w:drawing>
            </w:r>
          </w:p>
        </w:tc>
        <w:tc>
          <w:tcPr>
            <w:tcW w:w="2209" w:type="dxa"/>
          </w:tcPr>
          <w:p>
            <w:pPr>
              <w:pStyle w:val="TableParagraph"/>
              <w:spacing w:before="122" w:line="278" w:lineRule="auto"/>
              <w:ind w:left="107" w:right="189"/>
              <w:rPr>
                <w:sz w:val="18"/>
              </w:rPr>
            </w:pPr>
            <w:r>
              <w:rPr>
                <w:sz w:val="16"/>
              </w:rPr>
              <w:t xml:space="preserve">Přepravní obal obsahuje </w:t>
            </w:r>
            <w:r>
              <w:rPr>
                <w:sz w:val="16"/>
              </w:rPr>
              <w:t xml:space="preserve">křehké </w:t>
            </w:r>
            <w:r>
              <w:rPr>
                <w:sz w:val="16"/>
              </w:rPr>
              <w:t>předměty, zacházejte s ním opatrně</w:t>
            </w:r>
          </w:p>
        </w:tc>
        <w:tc>
          <w:tcPr>
            <w:tcW w:w="1232" w:type="dxa"/>
          </w:tcPr>
          <w:p>
            <w:pPr>
              <w:pStyle w:val="TableParagraph"/>
              <w:spacing w:before="4"/>
              <w:rPr>
                <w:b/>
                <w:sz w:val="5"/>
              </w:rPr>
            </w:pPr>
          </w:p>
          <w:p>
            <w:pPr>
              <w:pStyle w:val="TableParagraph"/>
              <w:ind w:left="221"/>
              <w:rPr>
                <w:sz w:val="20"/>
              </w:rPr>
            </w:pPr>
            <w:r>
              <w:rPr>
                <w:sz w:val="20"/>
              </w:rPr>
              <w:drawing>
                <wp:inline distT="0" distB="0" distL="0" distR="0">
                  <wp:extent cx="505182" cy="508253"/>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xmlns:r="http://schemas.openxmlformats.org/officeDocument/2006/relationships" r:embed="rId37" cstate="print"/>
                          <a:stretch>
                            <a:fillRect/>
                          </a:stretch>
                        </pic:blipFill>
                        <pic:spPr>
                          <a:xfrm>
                            <a:off x="0" y="0"/>
                            <a:ext cx="505182" cy="508253"/>
                          </a:xfrm>
                          <a:prstGeom prst="rect">
                            <a:avLst/>
                          </a:prstGeom>
                        </pic:spPr>
                      </pic:pic>
                    </a:graphicData>
                  </a:graphic>
                </wp:inline>
              </w:drawing>
            </w:r>
          </w:p>
        </w:tc>
        <w:tc>
          <w:tcPr>
            <w:tcW w:w="2257" w:type="dxa"/>
          </w:tcPr>
          <w:p>
            <w:pPr>
              <w:pStyle w:val="TableParagraph"/>
              <w:spacing w:before="35"/>
              <w:rPr>
                <w:b/>
                <w:sz w:val="18"/>
              </w:rPr>
            </w:pPr>
          </w:p>
          <w:p>
            <w:pPr>
              <w:pStyle w:val="TableParagraph"/>
              <w:spacing w:line="278" w:lineRule="auto"/>
              <w:ind w:left="107" w:right="187"/>
              <w:rPr>
                <w:sz w:val="18"/>
              </w:rPr>
            </w:pPr>
            <w:r>
              <w:rPr>
                <w:sz w:val="16"/>
              </w:rPr>
              <w:t xml:space="preserve">Během </w:t>
            </w:r>
            <w:r>
              <w:rPr>
                <w:spacing w:val="-2"/>
                <w:sz w:val="16"/>
              </w:rPr>
              <w:t xml:space="preserve">přepravy </w:t>
            </w:r>
            <w:r>
              <w:rPr>
                <w:sz w:val="16"/>
              </w:rPr>
              <w:t xml:space="preserve">udržujte </w:t>
            </w:r>
            <w:r>
              <w:rPr>
                <w:sz w:val="16"/>
              </w:rPr>
              <w:t>ve svislé poloze</w:t>
            </w:r>
          </w:p>
        </w:tc>
      </w:tr>
      <w:tr>
        <w:tblPrEx>
          <w:tblW w:w="0" w:type="auto"/>
          <w:tblInd w:w="288" w:type="dxa"/>
          <w:tblLayout w:type="fixed"/>
          <w:tblLook w:val="01E0"/>
        </w:tblPrEx>
        <w:trPr>
          <w:trHeight w:val="917"/>
        </w:trPr>
        <w:tc>
          <w:tcPr>
            <w:tcW w:w="1275" w:type="dxa"/>
          </w:tcPr>
          <w:p>
            <w:pPr>
              <w:pStyle w:val="TableParagraph"/>
              <w:spacing w:before="3"/>
              <w:rPr>
                <w:b/>
                <w:sz w:val="8"/>
              </w:rPr>
            </w:pPr>
          </w:p>
          <w:p>
            <w:pPr>
              <w:pStyle w:val="TableParagraph"/>
              <w:ind w:left="247"/>
              <w:rPr>
                <w:sz w:val="20"/>
              </w:rPr>
            </w:pPr>
            <w:r>
              <w:rPr>
                <w:sz w:val="20"/>
              </w:rPr>
              <w:drawing>
                <wp:inline distT="0" distB="0" distL="0" distR="0">
                  <wp:extent cx="492084" cy="469391"/>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xmlns:r="http://schemas.openxmlformats.org/officeDocument/2006/relationships" r:embed="rId38" cstate="print"/>
                          <a:stretch>
                            <a:fillRect/>
                          </a:stretch>
                        </pic:blipFill>
                        <pic:spPr>
                          <a:xfrm>
                            <a:off x="0" y="0"/>
                            <a:ext cx="492084" cy="469391"/>
                          </a:xfrm>
                          <a:prstGeom prst="rect">
                            <a:avLst/>
                          </a:prstGeom>
                        </pic:spPr>
                      </pic:pic>
                    </a:graphicData>
                  </a:graphic>
                </wp:inline>
              </w:drawing>
            </w:r>
          </w:p>
        </w:tc>
        <w:tc>
          <w:tcPr>
            <w:tcW w:w="2209" w:type="dxa"/>
          </w:tcPr>
          <w:p>
            <w:pPr>
              <w:pStyle w:val="TableParagraph"/>
              <w:spacing w:before="36"/>
              <w:rPr>
                <w:b/>
                <w:sz w:val="18"/>
              </w:rPr>
            </w:pPr>
          </w:p>
          <w:p>
            <w:pPr>
              <w:pStyle w:val="TableParagraph"/>
              <w:spacing w:line="278" w:lineRule="auto"/>
              <w:ind w:left="107"/>
              <w:rPr>
                <w:sz w:val="18"/>
              </w:rPr>
            </w:pPr>
            <w:r>
              <w:rPr>
                <w:sz w:val="16"/>
              </w:rPr>
              <w:t xml:space="preserve">Maximálně 5 vrstev pro stohování </w:t>
            </w:r>
            <w:r>
              <w:rPr>
                <w:sz w:val="16"/>
              </w:rPr>
              <w:t xml:space="preserve">identických </w:t>
            </w:r>
            <w:r>
              <w:rPr>
                <w:sz w:val="16"/>
              </w:rPr>
              <w:t>obalů</w:t>
            </w:r>
          </w:p>
        </w:tc>
        <w:tc>
          <w:tcPr>
            <w:tcW w:w="1232" w:type="dxa"/>
          </w:tcPr>
          <w:p>
            <w:pPr>
              <w:pStyle w:val="TableParagraph"/>
              <w:spacing w:before="10"/>
              <w:rPr>
                <w:b/>
                <w:sz w:val="7"/>
              </w:rPr>
            </w:pPr>
          </w:p>
          <w:p>
            <w:pPr>
              <w:pStyle w:val="TableParagraph"/>
              <w:ind w:left="247"/>
              <w:rPr>
                <w:sz w:val="20"/>
              </w:rPr>
            </w:pPr>
            <w:r>
              <w:rPr>
                <w:sz w:val="20"/>
              </w:rPr>
              <w:drawing>
                <wp:inline distT="0" distB="0" distL="0" distR="0">
                  <wp:extent cx="457959" cy="457200"/>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xmlns:r="http://schemas.openxmlformats.org/officeDocument/2006/relationships" r:embed="rId39" cstate="print"/>
                          <a:stretch>
                            <a:fillRect/>
                          </a:stretch>
                        </pic:blipFill>
                        <pic:spPr>
                          <a:xfrm>
                            <a:off x="0" y="0"/>
                            <a:ext cx="457959" cy="457200"/>
                          </a:xfrm>
                          <a:prstGeom prst="rect">
                            <a:avLst/>
                          </a:prstGeom>
                        </pic:spPr>
                      </pic:pic>
                    </a:graphicData>
                  </a:graphic>
                </wp:inline>
              </w:drawing>
            </w:r>
          </w:p>
        </w:tc>
        <w:tc>
          <w:tcPr>
            <w:tcW w:w="2257" w:type="dxa"/>
          </w:tcPr>
          <w:p>
            <w:pPr>
              <w:pStyle w:val="TableParagraph"/>
              <w:spacing w:before="123" w:line="278" w:lineRule="auto"/>
              <w:ind w:left="107" w:right="397"/>
              <w:rPr>
                <w:sz w:val="18"/>
              </w:rPr>
            </w:pPr>
            <w:r>
              <w:rPr>
                <w:sz w:val="16"/>
              </w:rPr>
              <w:t xml:space="preserve">Vlhkost </w:t>
            </w:r>
            <w:r>
              <w:rPr>
                <w:sz w:val="16"/>
              </w:rPr>
              <w:t xml:space="preserve">prostředí </w:t>
            </w:r>
            <w:r>
              <w:rPr>
                <w:sz w:val="16"/>
              </w:rPr>
              <w:t xml:space="preserve">přepravního </w:t>
            </w:r>
            <w:r>
              <w:rPr>
                <w:sz w:val="16"/>
              </w:rPr>
              <w:t>obalu</w:t>
            </w:r>
          </w:p>
          <w:p>
            <w:pPr>
              <w:pStyle w:val="TableParagraph"/>
              <w:spacing w:line="272" w:lineRule="exact"/>
              <w:ind w:left="107"/>
              <w:rPr>
                <w:sz w:val="18"/>
              </w:rPr>
            </w:pPr>
            <w:r>
              <w:rPr>
                <w:spacing w:val="-2"/>
                <w:sz w:val="16"/>
              </w:rPr>
              <w:t>(10</w:t>
            </w:r>
            <w:r>
              <w:rPr>
                <w:rFonts w:ascii="Noto Sans CJK JP" w:eastAsia="Noto Sans CJK JP"/>
                <w:spacing w:val="-2"/>
                <w:sz w:val="16"/>
              </w:rPr>
              <w:t>～</w:t>
            </w:r>
            <w:r>
              <w:rPr>
                <w:spacing w:val="-2"/>
                <w:sz w:val="16"/>
              </w:rPr>
              <w:t>95) %</w:t>
            </w:r>
          </w:p>
        </w:tc>
      </w:tr>
      <w:tr>
        <w:tblPrEx>
          <w:tblW w:w="0" w:type="auto"/>
          <w:tblInd w:w="288" w:type="dxa"/>
          <w:tblLayout w:type="fixed"/>
          <w:tblLook w:val="01E0"/>
        </w:tblPrEx>
        <w:trPr>
          <w:trHeight w:val="768"/>
        </w:trPr>
        <w:tc>
          <w:tcPr>
            <w:tcW w:w="1275" w:type="dxa"/>
          </w:tcPr>
          <w:p>
            <w:pPr>
              <w:pStyle w:val="TableParagraph"/>
              <w:spacing w:before="5"/>
              <w:rPr>
                <w:b/>
                <w:sz w:val="5"/>
              </w:rPr>
            </w:pPr>
          </w:p>
          <w:p>
            <w:pPr>
              <w:pStyle w:val="TableParagraph"/>
              <w:ind w:left="360"/>
              <w:rPr>
                <w:sz w:val="20"/>
              </w:rPr>
            </w:pPr>
            <w:r>
              <w:rPr>
                <w:sz w:val="20"/>
              </w:rPr>
              <w:drawing>
                <wp:inline distT="0" distB="0" distL="0" distR="0">
                  <wp:extent cx="348518" cy="402336"/>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xmlns:r="http://schemas.openxmlformats.org/officeDocument/2006/relationships" r:embed="rId40" cstate="print"/>
                          <a:stretch>
                            <a:fillRect/>
                          </a:stretch>
                        </pic:blipFill>
                        <pic:spPr>
                          <a:xfrm>
                            <a:off x="0" y="0"/>
                            <a:ext cx="348518" cy="402336"/>
                          </a:xfrm>
                          <a:prstGeom prst="rect">
                            <a:avLst/>
                          </a:prstGeom>
                        </pic:spPr>
                      </pic:pic>
                    </a:graphicData>
                  </a:graphic>
                </wp:inline>
              </w:drawing>
            </w:r>
          </w:p>
        </w:tc>
        <w:tc>
          <w:tcPr>
            <w:tcW w:w="2209" w:type="dxa"/>
          </w:tcPr>
          <w:p>
            <w:pPr>
              <w:pStyle w:val="TableParagraph"/>
              <w:spacing w:before="80"/>
              <w:rPr>
                <w:b/>
                <w:sz w:val="18"/>
              </w:rPr>
            </w:pPr>
          </w:p>
          <w:p>
            <w:pPr>
              <w:pStyle w:val="TableParagraph"/>
              <w:ind w:left="107"/>
              <w:rPr>
                <w:sz w:val="18"/>
              </w:rPr>
            </w:pPr>
            <w:r>
              <w:rPr>
                <w:sz w:val="16"/>
              </w:rPr>
              <w:t xml:space="preserve">Zvuk </w:t>
            </w:r>
            <w:r>
              <w:rPr>
                <w:spacing w:val="-2"/>
                <w:sz w:val="16"/>
              </w:rPr>
              <w:t>pozastaven</w:t>
            </w:r>
          </w:p>
        </w:tc>
        <w:tc>
          <w:tcPr>
            <w:tcW w:w="1232" w:type="dxa"/>
          </w:tcPr>
          <w:p>
            <w:pPr>
              <w:pStyle w:val="TableParagraph"/>
              <w:spacing w:before="10" w:after="1"/>
              <w:rPr>
                <w:b/>
                <w:sz w:val="10"/>
              </w:rPr>
            </w:pPr>
          </w:p>
          <w:p>
            <w:pPr>
              <w:pStyle w:val="TableParagraph"/>
              <w:ind w:left="303"/>
              <w:rPr>
                <w:sz w:val="20"/>
              </w:rPr>
            </w:pPr>
            <w:r>
              <w:rPr>
                <w:sz w:val="20"/>
              </w:rPr>
              <w:drawing>
                <wp:inline distT="0" distB="0" distL="0" distR="0">
                  <wp:extent cx="373666" cy="298704"/>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xmlns:r="http://schemas.openxmlformats.org/officeDocument/2006/relationships" r:embed="rId41" cstate="print"/>
                          <a:stretch>
                            <a:fillRect/>
                          </a:stretch>
                        </pic:blipFill>
                        <pic:spPr>
                          <a:xfrm>
                            <a:off x="0" y="0"/>
                            <a:ext cx="373666" cy="298704"/>
                          </a:xfrm>
                          <a:prstGeom prst="rect">
                            <a:avLst/>
                          </a:prstGeom>
                        </pic:spPr>
                      </pic:pic>
                    </a:graphicData>
                  </a:graphic>
                </wp:inline>
              </w:drawing>
            </w:r>
          </w:p>
        </w:tc>
        <w:tc>
          <w:tcPr>
            <w:tcW w:w="2257" w:type="dxa"/>
          </w:tcPr>
          <w:p>
            <w:pPr>
              <w:pStyle w:val="TableParagraph"/>
              <w:spacing w:before="80"/>
              <w:rPr>
                <w:b/>
                <w:sz w:val="18"/>
              </w:rPr>
            </w:pPr>
          </w:p>
          <w:p>
            <w:pPr>
              <w:pStyle w:val="TableParagraph"/>
              <w:ind w:left="107"/>
              <w:rPr>
                <w:sz w:val="18"/>
              </w:rPr>
            </w:pPr>
            <w:r>
              <w:rPr>
                <w:spacing w:val="-2"/>
                <w:sz w:val="16"/>
              </w:rPr>
              <w:t xml:space="preserve">Reset </w:t>
            </w:r>
            <w:r>
              <w:rPr>
                <w:sz w:val="16"/>
              </w:rPr>
              <w:t>alarmu</w:t>
            </w:r>
          </w:p>
        </w:tc>
      </w:tr>
      <w:tr>
        <w:tblPrEx>
          <w:tblW w:w="0" w:type="auto"/>
          <w:tblInd w:w="288" w:type="dxa"/>
          <w:tblLayout w:type="fixed"/>
          <w:tblLook w:val="01E0"/>
        </w:tblPrEx>
        <w:trPr>
          <w:trHeight w:val="753"/>
        </w:trPr>
        <w:tc>
          <w:tcPr>
            <w:tcW w:w="1275" w:type="dxa"/>
          </w:tcPr>
          <w:p>
            <w:pPr>
              <w:pStyle w:val="TableParagraph"/>
              <w:spacing w:before="5"/>
              <w:rPr>
                <w:b/>
                <w:sz w:val="12"/>
              </w:rPr>
            </w:pPr>
          </w:p>
          <w:p>
            <w:pPr>
              <w:pStyle w:val="TableParagraph"/>
              <w:ind w:left="419"/>
              <w:rPr>
                <w:sz w:val="20"/>
              </w:rPr>
            </w:pPr>
            <w:r>
              <w:rPr>
                <w:sz w:val="20"/>
              </w:rPr>
              <w:drawing>
                <wp:inline distT="0" distB="0" distL="0" distR="0">
                  <wp:extent cx="272307" cy="293369"/>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xmlns:r="http://schemas.openxmlformats.org/officeDocument/2006/relationships" r:embed="rId42" cstate="print"/>
                          <a:stretch>
                            <a:fillRect/>
                          </a:stretch>
                        </pic:blipFill>
                        <pic:spPr>
                          <a:xfrm>
                            <a:off x="0" y="0"/>
                            <a:ext cx="272307" cy="293369"/>
                          </a:xfrm>
                          <a:prstGeom prst="rect">
                            <a:avLst/>
                          </a:prstGeom>
                        </pic:spPr>
                      </pic:pic>
                    </a:graphicData>
                  </a:graphic>
                </wp:inline>
              </w:drawing>
            </w:r>
          </w:p>
        </w:tc>
        <w:tc>
          <w:tcPr>
            <w:tcW w:w="2209" w:type="dxa"/>
          </w:tcPr>
          <w:p>
            <w:pPr>
              <w:pStyle w:val="TableParagraph"/>
              <w:spacing w:before="74"/>
              <w:rPr>
                <w:b/>
                <w:sz w:val="18"/>
              </w:rPr>
            </w:pPr>
          </w:p>
          <w:p>
            <w:pPr>
              <w:pStyle w:val="TableParagraph"/>
              <w:ind w:left="107"/>
              <w:rPr>
                <w:sz w:val="18"/>
              </w:rPr>
            </w:pPr>
            <w:r>
              <w:rPr>
                <w:sz w:val="16"/>
              </w:rPr>
              <w:t xml:space="preserve">Typ </w:t>
            </w:r>
            <w:r>
              <w:rPr>
                <w:sz w:val="16"/>
              </w:rPr>
              <w:t xml:space="preserve">CF </w:t>
            </w:r>
            <w:r>
              <w:rPr>
                <w:sz w:val="16"/>
              </w:rPr>
              <w:t xml:space="preserve">použitá </w:t>
            </w:r>
            <w:r>
              <w:rPr>
                <w:spacing w:val="-4"/>
                <w:sz w:val="16"/>
              </w:rPr>
              <w:t>součást</w:t>
            </w:r>
          </w:p>
        </w:tc>
        <w:tc>
          <w:tcPr>
            <w:tcW w:w="1232" w:type="dxa"/>
          </w:tcPr>
          <w:p>
            <w:pPr>
              <w:pStyle w:val="TableParagraph"/>
              <w:spacing w:before="2"/>
              <w:rPr>
                <w:b/>
                <w:sz w:val="15"/>
              </w:rPr>
            </w:pPr>
          </w:p>
          <w:p>
            <w:pPr>
              <w:pStyle w:val="TableParagraph"/>
              <w:ind w:left="298"/>
              <w:rPr>
                <w:sz w:val="20"/>
              </w:rPr>
            </w:pPr>
            <w:r>
              <w:rPr>
                <w:sz w:val="20"/>
              </w:rPr>
              <w:drawing>
                <wp:inline distT="0" distB="0" distL="0" distR="0">
                  <wp:extent cx="387706" cy="25908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xmlns:r="http://schemas.openxmlformats.org/officeDocument/2006/relationships" r:embed="rId43" cstate="print"/>
                          <a:stretch>
                            <a:fillRect/>
                          </a:stretch>
                        </pic:blipFill>
                        <pic:spPr>
                          <a:xfrm>
                            <a:off x="0" y="0"/>
                            <a:ext cx="387706" cy="259080"/>
                          </a:xfrm>
                          <a:prstGeom prst="rect">
                            <a:avLst/>
                          </a:prstGeom>
                        </pic:spPr>
                      </pic:pic>
                    </a:graphicData>
                  </a:graphic>
                </wp:inline>
              </w:drawing>
            </w:r>
          </w:p>
        </w:tc>
        <w:tc>
          <w:tcPr>
            <w:tcW w:w="2257" w:type="dxa"/>
          </w:tcPr>
          <w:p>
            <w:pPr>
              <w:pStyle w:val="TableParagraph"/>
              <w:spacing w:before="74"/>
              <w:rPr>
                <w:b/>
                <w:sz w:val="18"/>
              </w:rPr>
            </w:pPr>
          </w:p>
          <w:p>
            <w:pPr>
              <w:pStyle w:val="TableParagraph"/>
              <w:ind w:left="107"/>
              <w:rPr>
                <w:sz w:val="18"/>
              </w:rPr>
            </w:pPr>
            <w:r>
              <w:rPr>
                <w:spacing w:val="-2"/>
                <w:sz w:val="16"/>
              </w:rPr>
              <w:t xml:space="preserve">Číslo </w:t>
            </w:r>
            <w:r>
              <w:rPr>
                <w:sz w:val="16"/>
              </w:rPr>
              <w:t>modelu</w:t>
            </w:r>
          </w:p>
        </w:tc>
      </w:tr>
      <w:tr>
        <w:tblPrEx>
          <w:tblW w:w="0" w:type="auto"/>
          <w:tblInd w:w="288" w:type="dxa"/>
          <w:tblLayout w:type="fixed"/>
          <w:tblLook w:val="01E0"/>
        </w:tblPrEx>
        <w:trPr>
          <w:trHeight w:val="906"/>
        </w:trPr>
        <w:tc>
          <w:tcPr>
            <w:tcW w:w="1275" w:type="dxa"/>
          </w:tcPr>
          <w:p>
            <w:pPr>
              <w:pStyle w:val="TableParagraph"/>
              <w:spacing w:before="6"/>
              <w:rPr>
                <w:b/>
                <w:sz w:val="15"/>
              </w:rPr>
            </w:pPr>
          </w:p>
          <w:p>
            <w:pPr>
              <w:pStyle w:val="TableParagraph"/>
              <w:ind w:left="350"/>
              <w:rPr>
                <w:sz w:val="20"/>
              </w:rPr>
            </w:pPr>
            <w:r>
              <w:rPr>
                <w:sz w:val="20"/>
              </w:rPr>
              <w:drawing>
                <wp:inline distT="0" distB="0" distL="0" distR="0">
                  <wp:extent cx="361270" cy="382428"/>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xmlns:r="http://schemas.openxmlformats.org/officeDocument/2006/relationships" r:embed="rId44" cstate="print"/>
                          <a:stretch>
                            <a:fillRect/>
                          </a:stretch>
                        </pic:blipFill>
                        <pic:spPr>
                          <a:xfrm>
                            <a:off x="0" y="0"/>
                            <a:ext cx="361270" cy="382428"/>
                          </a:xfrm>
                          <a:prstGeom prst="rect">
                            <a:avLst/>
                          </a:prstGeom>
                        </pic:spPr>
                      </pic:pic>
                    </a:graphicData>
                  </a:graphic>
                </wp:inline>
              </w:drawing>
            </w:r>
          </w:p>
        </w:tc>
        <w:tc>
          <w:tcPr>
            <w:tcW w:w="2209" w:type="dxa"/>
          </w:tcPr>
          <w:p>
            <w:pPr>
              <w:pStyle w:val="TableParagraph"/>
              <w:spacing w:before="87" w:line="278" w:lineRule="auto"/>
              <w:ind w:left="107"/>
              <w:rPr>
                <w:sz w:val="18"/>
              </w:rPr>
            </w:pPr>
            <w:r>
              <w:rPr>
                <w:sz w:val="16"/>
              </w:rPr>
              <w:t xml:space="preserve">Datum </w:t>
            </w:r>
            <w:r>
              <w:rPr>
                <w:sz w:val="16"/>
              </w:rPr>
              <w:t xml:space="preserve">výroby </w:t>
            </w:r>
            <w:r>
              <w:rPr>
                <w:sz w:val="16"/>
              </w:rPr>
              <w:t xml:space="preserve">a země </w:t>
            </w:r>
            <w:r>
              <w:rPr>
                <w:spacing w:val="-2"/>
                <w:sz w:val="16"/>
              </w:rPr>
              <w:t>výroby,</w:t>
            </w:r>
          </w:p>
          <w:p>
            <w:pPr>
              <w:pStyle w:val="TableParagraph"/>
              <w:spacing w:before="59"/>
              <w:ind w:left="107"/>
              <w:rPr>
                <w:sz w:val="18"/>
              </w:rPr>
            </w:pPr>
            <w:r>
              <w:rPr>
                <w:sz w:val="16"/>
              </w:rPr>
              <w:t xml:space="preserve">CN: </w:t>
            </w:r>
            <w:r>
              <w:rPr>
                <w:spacing w:val="-2"/>
                <w:sz w:val="16"/>
              </w:rPr>
              <w:t>Čína</w:t>
            </w:r>
          </w:p>
        </w:tc>
        <w:tc>
          <w:tcPr>
            <w:tcW w:w="1232" w:type="dxa"/>
          </w:tcPr>
          <w:p>
            <w:pPr>
              <w:pStyle w:val="TableParagraph"/>
              <w:spacing w:before="9"/>
              <w:rPr>
                <w:b/>
                <w:sz w:val="14"/>
              </w:rPr>
            </w:pPr>
          </w:p>
          <w:p>
            <w:pPr>
              <w:pStyle w:val="TableParagraph"/>
              <w:ind w:left="278"/>
              <w:rPr>
                <w:sz w:val="20"/>
              </w:rPr>
            </w:pPr>
            <w:r>
              <w:rPr>
                <w:sz w:val="20"/>
              </w:rPr>
              <w:drawing>
                <wp:inline distT="0" distB="0" distL="0" distR="0">
                  <wp:extent cx="446391" cy="324612"/>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xmlns:r="http://schemas.openxmlformats.org/officeDocument/2006/relationships" r:embed="rId45" cstate="print"/>
                          <a:stretch>
                            <a:fillRect/>
                          </a:stretch>
                        </pic:blipFill>
                        <pic:spPr>
                          <a:xfrm>
                            <a:off x="0" y="0"/>
                            <a:ext cx="446391" cy="324612"/>
                          </a:xfrm>
                          <a:prstGeom prst="rect">
                            <a:avLst/>
                          </a:prstGeom>
                        </pic:spPr>
                      </pic:pic>
                    </a:graphicData>
                  </a:graphic>
                </wp:inline>
              </w:drawing>
            </w:r>
          </w:p>
        </w:tc>
        <w:tc>
          <w:tcPr>
            <w:tcW w:w="2257" w:type="dxa"/>
          </w:tcPr>
          <w:p>
            <w:pPr>
              <w:pStyle w:val="TableParagraph"/>
              <w:spacing w:before="151"/>
              <w:rPr>
                <w:b/>
                <w:sz w:val="18"/>
              </w:rPr>
            </w:pPr>
          </w:p>
          <w:p>
            <w:pPr>
              <w:pStyle w:val="TableParagraph"/>
              <w:ind w:left="107"/>
              <w:rPr>
                <w:sz w:val="18"/>
              </w:rPr>
            </w:pPr>
            <w:r>
              <w:rPr>
                <w:sz w:val="16"/>
              </w:rPr>
              <w:t xml:space="preserve">Zdravotnický </w:t>
            </w:r>
            <w:r>
              <w:rPr>
                <w:spacing w:val="-2"/>
                <w:sz w:val="16"/>
              </w:rPr>
              <w:t>prostředek</w:t>
            </w:r>
          </w:p>
        </w:tc>
      </w:tr>
      <w:tr>
        <w:tblPrEx>
          <w:tblW w:w="0" w:type="auto"/>
          <w:tblInd w:w="288" w:type="dxa"/>
          <w:tblLayout w:type="fixed"/>
          <w:tblLook w:val="01E0"/>
        </w:tblPrEx>
        <w:trPr>
          <w:trHeight w:val="847"/>
        </w:trPr>
        <w:tc>
          <w:tcPr>
            <w:tcW w:w="1275" w:type="dxa"/>
          </w:tcPr>
          <w:p>
            <w:pPr>
              <w:pStyle w:val="TableParagraph"/>
              <w:spacing w:before="7"/>
              <w:rPr>
                <w:b/>
                <w:sz w:val="14"/>
              </w:rPr>
            </w:pPr>
          </w:p>
          <w:p>
            <w:pPr>
              <w:pStyle w:val="TableParagraph"/>
              <w:ind w:left="383"/>
              <w:rPr>
                <w:sz w:val="20"/>
              </w:rPr>
            </w:pPr>
            <w:r>
              <w:rPr>
                <w:sz w:val="20"/>
              </w:rPr>
              <w:drawing>
                <wp:inline distT="0" distB="0" distL="0" distR="0">
                  <wp:extent cx="317516" cy="323564"/>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xmlns:r="http://schemas.openxmlformats.org/officeDocument/2006/relationships" r:embed="rId46" cstate="print"/>
                          <a:stretch>
                            <a:fillRect/>
                          </a:stretch>
                        </pic:blipFill>
                        <pic:spPr>
                          <a:xfrm>
                            <a:off x="0" y="0"/>
                            <a:ext cx="317516" cy="323564"/>
                          </a:xfrm>
                          <a:prstGeom prst="rect">
                            <a:avLst/>
                          </a:prstGeom>
                        </pic:spPr>
                      </pic:pic>
                    </a:graphicData>
                  </a:graphic>
                </wp:inline>
              </w:drawing>
            </w:r>
          </w:p>
        </w:tc>
        <w:tc>
          <w:tcPr>
            <w:tcW w:w="2209" w:type="dxa"/>
          </w:tcPr>
          <w:p>
            <w:pPr>
              <w:pStyle w:val="TableParagraph"/>
              <w:spacing w:before="120"/>
              <w:rPr>
                <w:b/>
                <w:sz w:val="18"/>
              </w:rPr>
            </w:pPr>
          </w:p>
          <w:p>
            <w:pPr>
              <w:pStyle w:val="TableParagraph"/>
              <w:ind w:left="107"/>
              <w:rPr>
                <w:sz w:val="18"/>
              </w:rPr>
            </w:pPr>
            <w:r>
              <w:rPr>
                <w:spacing w:val="-2"/>
                <w:sz w:val="16"/>
              </w:rPr>
              <w:t>Zákaz</w:t>
            </w:r>
          </w:p>
        </w:tc>
        <w:tc>
          <w:tcPr>
            <w:tcW w:w="1232" w:type="dxa"/>
          </w:tcPr>
          <w:p>
            <w:pPr>
              <w:pStyle w:val="TableParagraph"/>
              <w:rPr>
                <w:sz w:val="18"/>
              </w:rPr>
            </w:pPr>
          </w:p>
        </w:tc>
        <w:tc>
          <w:tcPr>
            <w:tcW w:w="2257" w:type="dxa"/>
          </w:tcPr>
          <w:p>
            <w:pPr>
              <w:pStyle w:val="TableParagraph"/>
              <w:rPr>
                <w:sz w:val="18"/>
              </w:rPr>
            </w:pPr>
          </w:p>
        </w:tc>
      </w:tr>
    </w:tbl>
    <w:p>
      <w:pPr>
        <w:pStyle w:val="TableParagraph"/>
        <w:spacing w:after="0"/>
        <w:rPr>
          <w:sz w:val="18"/>
        </w:rPr>
        <w:sectPr>
          <w:type w:val="continuous"/>
          <w:pgSz w:w="8390" w:h="11910"/>
          <w:pgMar w:top="700" w:right="425" w:bottom="540" w:left="425" w:header="0" w:footer="342"/>
          <w:cols w:space="708"/>
        </w:sectPr>
      </w:pPr>
    </w:p>
    <w:p>
      <w:pPr>
        <w:pStyle w:val="Heading1"/>
        <w:numPr>
          <w:ilvl w:val="0"/>
          <w:numId w:val="1"/>
        </w:numPr>
        <w:tabs>
          <w:tab w:val="left" w:pos="443"/>
        </w:tabs>
        <w:spacing w:before="72" w:after="0" w:line="240" w:lineRule="auto"/>
        <w:ind w:left="443" w:right="0" w:hanging="148"/>
        <w:jc w:val="left"/>
      </w:pPr>
      <w:bookmarkStart w:id="52" w:name="7.Preparations and Precautions for Use B"/>
      <w:bookmarkEnd w:id="52"/>
      <w:bookmarkStart w:id="53" w:name="_bookmark26"/>
      <w:bookmarkEnd w:id="53"/>
      <w:r>
        <w:rPr>
          <w:sz w:val="18"/>
        </w:rPr>
        <w:t>Příprav</w:t>
      </w:r>
      <w:r>
        <w:rPr>
          <w:spacing w:val="-2"/>
          <w:sz w:val="18"/>
        </w:rPr>
        <w:t xml:space="preserve">y </w:t>
      </w:r>
      <w:r>
        <w:rPr>
          <w:sz w:val="18"/>
        </w:rPr>
        <w:t xml:space="preserve">a </w:t>
      </w:r>
      <w:r>
        <w:rPr>
          <w:sz w:val="18"/>
        </w:rPr>
        <w:t>bezpečnost</w:t>
      </w:r>
      <w:r>
        <w:rPr>
          <w:sz w:val="18"/>
        </w:rPr>
        <w:t>ní</w:t>
      </w:r>
      <w:r>
        <w:rPr>
          <w:sz w:val="18"/>
        </w:rPr>
        <w:t xml:space="preserve"> opatření </w:t>
      </w:r>
      <w:r>
        <w:rPr>
          <w:sz w:val="18"/>
        </w:rPr>
        <w:t xml:space="preserve">před </w:t>
      </w:r>
      <w:r>
        <w:rPr>
          <w:sz w:val="18"/>
        </w:rPr>
        <w:t>použitím</w:t>
      </w:r>
    </w:p>
    <w:p>
      <w:pPr>
        <w:pStyle w:val="Heading1"/>
        <w:numPr>
          <w:ilvl w:val="1"/>
          <w:numId w:val="1"/>
        </w:numPr>
        <w:tabs>
          <w:tab w:val="left" w:pos="593"/>
        </w:tabs>
        <w:spacing w:before="63" w:after="0" w:line="240" w:lineRule="auto"/>
        <w:ind w:left="593" w:right="0" w:hanging="298"/>
        <w:jc w:val="left"/>
      </w:pPr>
      <w:bookmarkStart w:id="54" w:name="7.1 Preparation and Inspection Before Us"/>
      <w:bookmarkEnd w:id="54"/>
      <w:bookmarkStart w:id="55" w:name="_bookmark27"/>
      <w:bookmarkEnd w:id="55"/>
      <w:r>
        <w:rPr>
          <w:sz w:val="18"/>
        </w:rPr>
        <w:t xml:space="preserve">Příprava </w:t>
      </w:r>
      <w:r>
        <w:rPr>
          <w:sz w:val="18"/>
        </w:rPr>
        <w:t xml:space="preserve">a </w:t>
      </w:r>
      <w:r>
        <w:rPr>
          <w:sz w:val="18"/>
        </w:rPr>
        <w:t xml:space="preserve">kontrola </w:t>
      </w:r>
      <w:r>
        <w:rPr>
          <w:sz w:val="18"/>
        </w:rPr>
        <w:t xml:space="preserve">před </w:t>
      </w:r>
      <w:r>
        <w:rPr>
          <w:spacing w:val="-5"/>
          <w:sz w:val="18"/>
        </w:rPr>
        <w:t>použitím</w:t>
      </w:r>
    </w:p>
    <w:p>
      <w:pPr>
        <w:pStyle w:val="BodyText"/>
        <w:spacing w:before="175" w:line="273" w:lineRule="auto"/>
      </w:pPr>
      <w:r>
        <w:rPr>
          <w:sz w:val="16"/>
        </w:rPr>
        <w:t>U nových přístrojů, přístrojů znovu používaných po skladování nebo přístrojů připravených k použití po opravě se před použitím ujistěte, že:</w:t>
      </w:r>
    </w:p>
    <w:p>
      <w:pPr>
        <w:pStyle w:val="ListParagraph"/>
        <w:numPr>
          <w:ilvl w:val="0"/>
          <w:numId w:val="24"/>
        </w:numPr>
        <w:tabs>
          <w:tab w:val="left" w:pos="545"/>
        </w:tabs>
        <w:spacing w:before="157" w:after="0" w:line="240" w:lineRule="auto"/>
        <w:ind w:left="545" w:right="0" w:hanging="250"/>
        <w:jc w:val="left"/>
        <w:rPr>
          <w:sz w:val="18"/>
        </w:rPr>
      </w:pPr>
      <w:r>
        <w:rPr>
          <w:sz w:val="16"/>
        </w:rPr>
        <w:t>Vnější povrch</w:t>
      </w:r>
      <w:r>
        <w:rPr>
          <w:sz w:val="16"/>
        </w:rPr>
        <w:t xml:space="preserve"> </w:t>
      </w:r>
      <w:r>
        <w:rPr>
          <w:sz w:val="16"/>
        </w:rPr>
        <w:t xml:space="preserve">přístroje </w:t>
      </w:r>
      <w:r>
        <w:rPr>
          <w:sz w:val="16"/>
        </w:rPr>
        <w:t xml:space="preserve">je </w:t>
      </w:r>
      <w:r>
        <w:rPr>
          <w:sz w:val="16"/>
        </w:rPr>
        <w:t xml:space="preserve">neporušený, </w:t>
      </w:r>
      <w:r>
        <w:rPr>
          <w:sz w:val="16"/>
        </w:rPr>
        <w:t xml:space="preserve">čistý </w:t>
      </w:r>
      <w:r>
        <w:rPr>
          <w:sz w:val="16"/>
        </w:rPr>
        <w:t xml:space="preserve">a </w:t>
      </w:r>
      <w:r>
        <w:rPr>
          <w:sz w:val="16"/>
        </w:rPr>
        <w:t xml:space="preserve">uklizený, </w:t>
      </w:r>
      <w:r>
        <w:rPr>
          <w:sz w:val="16"/>
        </w:rPr>
        <w:t xml:space="preserve">bez </w:t>
      </w:r>
      <w:r>
        <w:rPr>
          <w:sz w:val="16"/>
        </w:rPr>
        <w:t xml:space="preserve">prasklin </w:t>
      </w:r>
      <w:r>
        <w:rPr>
          <w:sz w:val="16"/>
        </w:rPr>
        <w:t xml:space="preserve">a </w:t>
      </w:r>
      <w:r>
        <w:rPr>
          <w:spacing w:val="-2"/>
          <w:sz w:val="16"/>
        </w:rPr>
        <w:t>netěsností.</w:t>
      </w:r>
    </w:p>
    <w:p>
      <w:pPr>
        <w:pStyle w:val="ListParagraph"/>
        <w:numPr>
          <w:ilvl w:val="0"/>
          <w:numId w:val="24"/>
        </w:numPr>
        <w:tabs>
          <w:tab w:val="left" w:pos="538"/>
        </w:tabs>
        <w:spacing w:before="184" w:after="0" w:line="240" w:lineRule="auto"/>
        <w:ind w:left="538" w:right="0" w:hanging="243"/>
        <w:jc w:val="left"/>
        <w:rPr>
          <w:sz w:val="18"/>
        </w:rPr>
      </w:pPr>
      <w:r>
        <w:rPr>
          <w:sz w:val="16"/>
        </w:rPr>
        <w:t xml:space="preserve">Všechny </w:t>
      </w:r>
      <w:r>
        <w:rPr>
          <w:sz w:val="16"/>
        </w:rPr>
        <w:t xml:space="preserve">klávesy </w:t>
      </w:r>
      <w:r>
        <w:rPr>
          <w:sz w:val="16"/>
        </w:rPr>
        <w:t xml:space="preserve">jsou </w:t>
      </w:r>
      <w:r>
        <w:rPr>
          <w:sz w:val="16"/>
        </w:rPr>
        <w:t xml:space="preserve">pružné </w:t>
      </w:r>
      <w:r>
        <w:rPr>
          <w:sz w:val="16"/>
        </w:rPr>
        <w:t xml:space="preserve">a </w:t>
      </w:r>
      <w:r>
        <w:rPr>
          <w:sz w:val="16"/>
        </w:rPr>
        <w:t xml:space="preserve">funkční, </w:t>
      </w:r>
      <w:r>
        <w:rPr>
          <w:sz w:val="16"/>
        </w:rPr>
        <w:t xml:space="preserve">bez </w:t>
      </w:r>
      <w:r>
        <w:rPr>
          <w:sz w:val="16"/>
        </w:rPr>
        <w:t xml:space="preserve">nefunkčních </w:t>
      </w:r>
      <w:r>
        <w:rPr>
          <w:sz w:val="16"/>
        </w:rPr>
        <w:t xml:space="preserve">nebo </w:t>
      </w:r>
      <w:r>
        <w:rPr>
          <w:sz w:val="16"/>
        </w:rPr>
        <w:t xml:space="preserve">zaseknutých </w:t>
      </w:r>
      <w:r>
        <w:rPr>
          <w:spacing w:val="-4"/>
          <w:sz w:val="16"/>
        </w:rPr>
        <w:t>kláves.</w:t>
      </w:r>
    </w:p>
    <w:p>
      <w:pPr>
        <w:pStyle w:val="ListParagraph"/>
        <w:numPr>
          <w:ilvl w:val="0"/>
          <w:numId w:val="24"/>
        </w:numPr>
        <w:tabs>
          <w:tab w:val="left" w:pos="545"/>
        </w:tabs>
        <w:spacing w:before="184" w:after="0" w:line="240" w:lineRule="auto"/>
        <w:ind w:left="545" w:right="0" w:hanging="250"/>
        <w:jc w:val="left"/>
        <w:rPr>
          <w:sz w:val="18"/>
        </w:rPr>
      </w:pPr>
      <w:r>
        <w:rPr>
          <w:sz w:val="16"/>
        </w:rPr>
        <w:t xml:space="preserve">Rukojeť </w:t>
      </w:r>
      <w:r>
        <w:rPr>
          <w:sz w:val="16"/>
        </w:rPr>
        <w:t>pro tažení</w:t>
      </w:r>
      <w:r>
        <w:rPr>
          <w:sz w:val="16"/>
        </w:rPr>
        <w:t xml:space="preserve">, </w:t>
      </w:r>
      <w:r>
        <w:rPr>
          <w:sz w:val="16"/>
        </w:rPr>
        <w:t xml:space="preserve">rukojeť </w:t>
      </w:r>
      <w:r>
        <w:rPr>
          <w:sz w:val="16"/>
        </w:rPr>
        <w:t>pro tlačení</w:t>
      </w:r>
      <w:r>
        <w:rPr>
          <w:sz w:val="16"/>
        </w:rPr>
        <w:t xml:space="preserve">, </w:t>
      </w:r>
      <w:r>
        <w:rPr>
          <w:sz w:val="16"/>
        </w:rPr>
        <w:t xml:space="preserve">spojka </w:t>
      </w:r>
      <w:r>
        <w:rPr>
          <w:sz w:val="16"/>
        </w:rPr>
        <w:t xml:space="preserve">a </w:t>
      </w:r>
      <w:r>
        <w:rPr>
          <w:sz w:val="16"/>
        </w:rPr>
        <w:t xml:space="preserve">šroub </w:t>
      </w:r>
      <w:r>
        <w:rPr>
          <w:sz w:val="16"/>
        </w:rPr>
        <w:t xml:space="preserve">injekční pumpy </w:t>
      </w:r>
      <w:r>
        <w:rPr>
          <w:sz w:val="16"/>
        </w:rPr>
        <w:t xml:space="preserve">se pohybují </w:t>
      </w:r>
      <w:r>
        <w:rPr>
          <w:spacing w:val="-2"/>
          <w:sz w:val="16"/>
        </w:rPr>
        <w:t>pružně.</w:t>
      </w:r>
    </w:p>
    <w:p>
      <w:pPr>
        <w:pStyle w:val="ListParagraph"/>
        <w:numPr>
          <w:ilvl w:val="0"/>
          <w:numId w:val="24"/>
        </w:numPr>
        <w:tabs>
          <w:tab w:val="left" w:pos="545"/>
        </w:tabs>
        <w:spacing w:before="187" w:after="0" w:line="240" w:lineRule="auto"/>
        <w:ind w:left="545" w:right="0" w:hanging="250"/>
        <w:jc w:val="left"/>
        <w:rPr>
          <w:sz w:val="18"/>
        </w:rPr>
      </w:pPr>
      <w:r>
        <w:rPr>
          <w:sz w:val="16"/>
        </w:rPr>
        <w:t xml:space="preserve">Napájecí </w:t>
      </w:r>
      <w:r>
        <w:rPr>
          <w:sz w:val="16"/>
        </w:rPr>
        <w:t xml:space="preserve">kabel </w:t>
      </w:r>
      <w:r>
        <w:rPr>
          <w:sz w:val="16"/>
        </w:rPr>
        <w:t xml:space="preserve">je </w:t>
      </w:r>
      <w:r>
        <w:rPr>
          <w:sz w:val="16"/>
        </w:rPr>
        <w:t xml:space="preserve">bezpečně </w:t>
      </w:r>
      <w:r>
        <w:rPr>
          <w:sz w:val="16"/>
        </w:rPr>
        <w:t xml:space="preserve">nainstalován </w:t>
      </w:r>
      <w:r>
        <w:rPr>
          <w:sz w:val="16"/>
        </w:rPr>
        <w:t xml:space="preserve">a </w:t>
      </w:r>
      <w:r>
        <w:rPr>
          <w:sz w:val="16"/>
        </w:rPr>
        <w:t xml:space="preserve">nelze </w:t>
      </w:r>
      <w:r>
        <w:rPr>
          <w:spacing w:val="-4"/>
          <w:sz w:val="16"/>
        </w:rPr>
        <w:t xml:space="preserve">jej </w:t>
      </w:r>
      <w:r>
        <w:rPr>
          <w:sz w:val="16"/>
        </w:rPr>
        <w:t xml:space="preserve">snadno </w:t>
      </w:r>
      <w:r>
        <w:rPr>
          <w:sz w:val="16"/>
        </w:rPr>
        <w:t>vytáhnout</w:t>
      </w:r>
      <w:r>
        <w:rPr>
          <w:spacing w:val="-4"/>
          <w:sz w:val="16"/>
        </w:rPr>
        <w:t>.</w:t>
      </w:r>
    </w:p>
    <w:p>
      <w:pPr>
        <w:pStyle w:val="ListParagraph"/>
        <w:numPr>
          <w:ilvl w:val="0"/>
          <w:numId w:val="24"/>
        </w:numPr>
        <w:tabs>
          <w:tab w:val="left" w:pos="577"/>
        </w:tabs>
        <w:spacing w:before="184" w:after="0" w:line="273" w:lineRule="auto"/>
        <w:ind w:left="295" w:right="291" w:firstLine="0"/>
        <w:jc w:val="both"/>
        <w:rPr>
          <w:sz w:val="18"/>
        </w:rPr>
      </w:pPr>
      <w:r>
        <w:rPr>
          <w:sz w:val="16"/>
        </w:rPr>
        <w:t>Pokud se používá pouze vnitřní baterie, před použitím se ujistěte, že je plně nabitá a že je stále v funkčním stavu.</w:t>
      </w:r>
    </w:p>
    <w:p>
      <w:pPr>
        <w:pStyle w:val="ListParagraph"/>
        <w:numPr>
          <w:ilvl w:val="0"/>
          <w:numId w:val="24"/>
        </w:numPr>
        <w:tabs>
          <w:tab w:val="left" w:pos="548"/>
        </w:tabs>
        <w:spacing w:before="157" w:after="0" w:line="240" w:lineRule="auto"/>
        <w:ind w:left="548" w:right="0" w:hanging="253"/>
        <w:jc w:val="left"/>
        <w:rPr>
          <w:sz w:val="18"/>
        </w:rPr>
      </w:pPr>
      <w:r>
        <w:rPr>
          <w:sz w:val="16"/>
        </w:rPr>
        <w:t xml:space="preserve">Nastavte </w:t>
      </w:r>
      <w:r>
        <w:rPr>
          <w:sz w:val="16"/>
        </w:rPr>
        <w:t xml:space="preserve">a </w:t>
      </w:r>
      <w:r>
        <w:rPr>
          <w:sz w:val="16"/>
        </w:rPr>
        <w:t xml:space="preserve">ověřte </w:t>
      </w:r>
      <w:r>
        <w:rPr>
          <w:sz w:val="16"/>
        </w:rPr>
        <w:t xml:space="preserve">systémový </w:t>
      </w:r>
      <w:r>
        <w:rPr>
          <w:sz w:val="16"/>
        </w:rPr>
        <w:t>čas</w:t>
      </w:r>
      <w:r>
        <w:rPr>
          <w:sz w:val="16"/>
        </w:rPr>
        <w:t xml:space="preserve">, abyste </w:t>
      </w:r>
      <w:r>
        <w:rPr>
          <w:sz w:val="16"/>
        </w:rPr>
        <w:t>se ujistili</w:t>
      </w:r>
      <w:r>
        <w:rPr>
          <w:sz w:val="16"/>
        </w:rPr>
        <w:t xml:space="preserve">, že </w:t>
      </w:r>
      <w:r>
        <w:rPr>
          <w:sz w:val="16"/>
        </w:rPr>
        <w:t xml:space="preserve">jsou </w:t>
      </w:r>
      <w:r>
        <w:rPr>
          <w:sz w:val="16"/>
        </w:rPr>
        <w:t xml:space="preserve">záznamy </w:t>
      </w:r>
      <w:r>
        <w:rPr>
          <w:sz w:val="16"/>
        </w:rPr>
        <w:t xml:space="preserve">historie </w:t>
      </w:r>
      <w:r>
        <w:rPr>
          <w:sz w:val="16"/>
        </w:rPr>
        <w:t xml:space="preserve">správně </w:t>
      </w:r>
      <w:r>
        <w:rPr>
          <w:spacing w:val="-2"/>
          <w:sz w:val="16"/>
        </w:rPr>
        <w:t>dokumentovány.</w:t>
      </w:r>
    </w:p>
    <w:p>
      <w:pPr>
        <w:pStyle w:val="ListParagraph"/>
        <w:numPr>
          <w:ilvl w:val="0"/>
          <w:numId w:val="24"/>
        </w:numPr>
        <w:tabs>
          <w:tab w:val="left" w:pos="548"/>
        </w:tabs>
        <w:spacing w:before="184" w:after="0" w:line="240" w:lineRule="auto"/>
        <w:ind w:left="548" w:right="0" w:hanging="253"/>
        <w:jc w:val="left"/>
        <w:rPr>
          <w:sz w:val="18"/>
        </w:rPr>
      </w:pPr>
      <w:r>
        <w:rPr>
          <w:sz w:val="16"/>
        </w:rPr>
        <w:t xml:space="preserve">Pečlivě </w:t>
      </w:r>
      <w:r>
        <w:rPr>
          <w:sz w:val="16"/>
        </w:rPr>
        <w:t xml:space="preserve">si přečtěte </w:t>
      </w:r>
      <w:r>
        <w:rPr>
          <w:sz w:val="16"/>
        </w:rPr>
        <w:t xml:space="preserve">varovné </w:t>
      </w:r>
      <w:r>
        <w:rPr>
          <w:sz w:val="16"/>
        </w:rPr>
        <w:t xml:space="preserve">poznámky </w:t>
      </w:r>
      <w:r>
        <w:rPr>
          <w:sz w:val="16"/>
        </w:rPr>
        <w:t xml:space="preserve">a </w:t>
      </w:r>
      <w:r>
        <w:rPr>
          <w:sz w:val="16"/>
        </w:rPr>
        <w:t xml:space="preserve">provozní kroky </w:t>
      </w:r>
      <w:r>
        <w:rPr>
          <w:sz w:val="16"/>
        </w:rPr>
        <w:t xml:space="preserve">v </w:t>
      </w:r>
      <w:r>
        <w:rPr>
          <w:sz w:val="16"/>
        </w:rPr>
        <w:t xml:space="preserve">této </w:t>
      </w:r>
      <w:r>
        <w:rPr>
          <w:sz w:val="16"/>
        </w:rPr>
        <w:t xml:space="preserve">uživatelské </w:t>
      </w:r>
      <w:r>
        <w:rPr>
          <w:spacing w:val="-2"/>
          <w:sz w:val="16"/>
        </w:rPr>
        <w:t>příručce.</w:t>
      </w:r>
    </w:p>
    <w:p>
      <w:pPr>
        <w:pStyle w:val="BodyText"/>
        <w:spacing w:before="114"/>
        <w:ind w:left="0"/>
      </w:pPr>
    </w:p>
    <w:p>
      <w:pPr>
        <w:pStyle w:val="Heading1"/>
        <w:numPr>
          <w:ilvl w:val="1"/>
          <w:numId w:val="1"/>
        </w:numPr>
        <w:tabs>
          <w:tab w:val="left" w:pos="593"/>
        </w:tabs>
        <w:spacing w:before="0" w:after="0" w:line="240" w:lineRule="auto"/>
        <w:ind w:left="593" w:right="0" w:hanging="298"/>
        <w:jc w:val="left"/>
      </w:pPr>
      <w:bookmarkStart w:id="56" w:name="7.2 Operational Precautions"/>
      <w:bookmarkEnd w:id="56"/>
      <w:bookmarkStart w:id="57" w:name="_bookmark28"/>
      <w:bookmarkEnd w:id="57"/>
      <w:r>
        <w:rPr>
          <w:spacing w:val="-2"/>
          <w:sz w:val="18"/>
        </w:rPr>
        <w:t xml:space="preserve">Bezpečnostní opatření </w:t>
      </w:r>
      <w:r>
        <w:rPr>
          <w:sz w:val="18"/>
        </w:rPr>
        <w:t>při provozu</w:t>
      </w:r>
    </w:p>
    <w:p>
      <w:pPr>
        <w:pStyle w:val="ListParagraph"/>
        <w:numPr>
          <w:ilvl w:val="0"/>
          <w:numId w:val="23"/>
        </w:numPr>
        <w:tabs>
          <w:tab w:val="left" w:pos="538"/>
        </w:tabs>
        <w:spacing w:before="176" w:after="0" w:line="240" w:lineRule="auto"/>
        <w:ind w:left="538" w:right="0" w:hanging="243"/>
        <w:jc w:val="left"/>
        <w:rPr>
          <w:sz w:val="18"/>
        </w:rPr>
      </w:pPr>
      <w:r>
        <w:rPr>
          <w:sz w:val="16"/>
        </w:rPr>
        <w:t xml:space="preserve">Vyvarujte se </w:t>
      </w:r>
      <w:r>
        <w:rPr>
          <w:sz w:val="16"/>
        </w:rPr>
        <w:t xml:space="preserve">přímému </w:t>
      </w:r>
      <w:r>
        <w:rPr>
          <w:sz w:val="16"/>
        </w:rPr>
        <w:t xml:space="preserve">slunečnímu </w:t>
      </w:r>
      <w:r>
        <w:rPr>
          <w:sz w:val="16"/>
        </w:rPr>
        <w:t xml:space="preserve">záření, </w:t>
      </w:r>
      <w:r>
        <w:rPr>
          <w:sz w:val="16"/>
        </w:rPr>
        <w:t xml:space="preserve">vysokým </w:t>
      </w:r>
      <w:r>
        <w:rPr>
          <w:sz w:val="16"/>
        </w:rPr>
        <w:t xml:space="preserve">teplotám </w:t>
      </w:r>
      <w:r>
        <w:rPr>
          <w:sz w:val="16"/>
        </w:rPr>
        <w:t xml:space="preserve">nebo </w:t>
      </w:r>
      <w:r>
        <w:rPr>
          <w:sz w:val="16"/>
        </w:rPr>
        <w:t xml:space="preserve">vysoké </w:t>
      </w:r>
      <w:r>
        <w:rPr>
          <w:spacing w:val="-2"/>
          <w:sz w:val="16"/>
        </w:rPr>
        <w:t>vlhkosti.</w:t>
      </w:r>
    </w:p>
    <w:p>
      <w:pPr>
        <w:pStyle w:val="ListParagraph"/>
        <w:numPr>
          <w:ilvl w:val="0"/>
          <w:numId w:val="23"/>
        </w:numPr>
        <w:tabs>
          <w:tab w:val="left" w:pos="543"/>
        </w:tabs>
        <w:spacing w:before="184" w:after="0" w:line="276" w:lineRule="auto"/>
        <w:ind w:left="295" w:right="293" w:firstLine="0"/>
        <w:jc w:val="both"/>
        <w:rPr>
          <w:sz w:val="18"/>
        </w:rPr>
      </w:pPr>
      <w:r>
        <w:rPr>
          <w:sz w:val="16"/>
        </w:rPr>
        <w:t xml:space="preserve">Zabraňte </w:t>
      </w:r>
      <w:r>
        <w:rPr>
          <w:sz w:val="16"/>
        </w:rPr>
        <w:t xml:space="preserve">provozu injekční pumpy s poruchami, </w:t>
      </w:r>
      <w:r>
        <w:rPr>
          <w:sz w:val="16"/>
        </w:rPr>
        <w:t xml:space="preserve">abyste předešli lékařským incidentům </w:t>
      </w:r>
      <w:r>
        <w:rPr>
          <w:sz w:val="16"/>
        </w:rPr>
        <w:t>a rizikům pro zdraví nebo život pacienta.</w:t>
      </w:r>
    </w:p>
    <w:p>
      <w:pPr>
        <w:pStyle w:val="ListParagraph"/>
        <w:numPr>
          <w:ilvl w:val="0"/>
          <w:numId w:val="23"/>
        </w:numPr>
        <w:tabs>
          <w:tab w:val="left" w:pos="562"/>
        </w:tabs>
        <w:spacing w:before="153" w:after="0" w:line="273" w:lineRule="auto"/>
        <w:ind w:left="295" w:right="293" w:firstLine="0"/>
        <w:jc w:val="both"/>
        <w:rPr>
          <w:sz w:val="18"/>
        </w:rPr>
      </w:pPr>
      <w:r>
        <w:rPr>
          <w:sz w:val="16"/>
        </w:rPr>
        <w:t xml:space="preserve">Nastavení nebo změnu různých parametrů injekční pumpy by měli provádět vyškolení </w:t>
      </w:r>
      <w:r>
        <w:rPr>
          <w:spacing w:val="-2"/>
          <w:sz w:val="16"/>
        </w:rPr>
        <w:t>odborníci.</w:t>
      </w:r>
    </w:p>
    <w:p>
      <w:pPr>
        <w:pStyle w:val="ListParagraph"/>
        <w:numPr>
          <w:ilvl w:val="0"/>
          <w:numId w:val="23"/>
        </w:numPr>
        <w:tabs>
          <w:tab w:val="left" w:pos="553"/>
        </w:tabs>
        <w:spacing w:before="156" w:after="0" w:line="273" w:lineRule="auto"/>
        <w:ind w:left="295" w:right="292" w:firstLine="0"/>
        <w:jc w:val="both"/>
        <w:rPr>
          <w:sz w:val="18"/>
        </w:rPr>
      </w:pPr>
      <w:r>
        <w:rPr>
          <w:sz w:val="16"/>
        </w:rPr>
        <w:t>Injekční pumpu je třeba používat v rozmezí 0,5 m ± 5 cm nad nebo pod úrovní srdce pacienta.</w:t>
      </w:r>
    </w:p>
    <w:p>
      <w:pPr>
        <w:pStyle w:val="ListParagraph"/>
        <w:numPr>
          <w:ilvl w:val="0"/>
          <w:numId w:val="23"/>
        </w:numPr>
        <w:tabs>
          <w:tab w:val="left" w:pos="565"/>
        </w:tabs>
        <w:spacing w:before="155" w:after="0" w:line="276" w:lineRule="auto"/>
        <w:ind w:left="295" w:right="291" w:firstLine="0"/>
        <w:jc w:val="both"/>
        <w:rPr>
          <w:sz w:val="18"/>
        </w:rPr>
      </w:pPr>
      <w:r>
        <w:rPr>
          <w:sz w:val="16"/>
        </w:rPr>
        <w:t>Pokud je panel poškozen, vyměňte jej neprodleně, aby nedošlo k úniku kapaliny do injekční pumpy a jejímu poškození.</w:t>
      </w:r>
    </w:p>
    <w:p>
      <w:pPr>
        <w:pStyle w:val="ListParagraph"/>
        <w:numPr>
          <w:ilvl w:val="0"/>
          <w:numId w:val="23"/>
        </w:numPr>
        <w:tabs>
          <w:tab w:val="left" w:pos="557"/>
        </w:tabs>
        <w:spacing w:before="153" w:after="0" w:line="273" w:lineRule="auto"/>
        <w:ind w:left="295" w:right="296" w:firstLine="0"/>
        <w:jc w:val="both"/>
        <w:rPr>
          <w:sz w:val="18"/>
        </w:rPr>
      </w:pPr>
      <w:r>
        <w:rPr>
          <w:sz w:val="16"/>
        </w:rPr>
        <w:t>Provoz injekční pumpy při teplotách prostředí mimo stanovený rozsah může snížit přesnost injekce nebo dokonce způsobit abnormální provoz.</w:t>
      </w:r>
    </w:p>
    <w:p>
      <w:pPr>
        <w:pStyle w:val="ListParagraph"/>
        <w:numPr>
          <w:ilvl w:val="0"/>
          <w:numId w:val="23"/>
        </w:numPr>
        <w:tabs>
          <w:tab w:val="left" w:pos="555"/>
        </w:tabs>
        <w:spacing w:before="157" w:after="0" w:line="273" w:lineRule="auto"/>
        <w:ind w:left="295" w:right="292" w:firstLine="0"/>
        <w:jc w:val="both"/>
        <w:rPr>
          <w:sz w:val="18"/>
        </w:rPr>
      </w:pPr>
      <w:r>
        <w:rPr>
          <w:sz w:val="16"/>
        </w:rPr>
        <w:t xml:space="preserve">Viskozita a měrná hmotnost infuzní tekutiny mohou ovlivnit přesnost injekce </w:t>
      </w:r>
      <w:r>
        <w:rPr>
          <w:sz w:val="16"/>
        </w:rPr>
        <w:t>pumpy.</w:t>
      </w:r>
    </w:p>
    <w:p>
      <w:pPr>
        <w:pStyle w:val="ListParagraph"/>
        <w:numPr>
          <w:ilvl w:val="0"/>
          <w:numId w:val="23"/>
        </w:numPr>
        <w:tabs>
          <w:tab w:val="left" w:pos="548"/>
        </w:tabs>
        <w:spacing w:before="154" w:after="0" w:line="276" w:lineRule="auto"/>
        <w:ind w:left="295" w:right="292" w:firstLine="0"/>
        <w:jc w:val="both"/>
        <w:rPr>
          <w:sz w:val="18"/>
        </w:rPr>
      </w:pPr>
      <w:r>
        <w:rPr>
          <w:sz w:val="16"/>
        </w:rPr>
        <w:t xml:space="preserve">Kromě </w:t>
      </w:r>
      <w:r>
        <w:rPr>
          <w:sz w:val="16"/>
        </w:rPr>
        <w:t xml:space="preserve">dvou </w:t>
      </w:r>
      <w:r>
        <w:rPr>
          <w:sz w:val="16"/>
        </w:rPr>
        <w:t xml:space="preserve">typů injekčních </w:t>
      </w:r>
      <w:r>
        <w:rPr>
          <w:sz w:val="16"/>
        </w:rPr>
        <w:t xml:space="preserve">stříkaček zabudovaných </w:t>
      </w:r>
      <w:r>
        <w:rPr>
          <w:sz w:val="16"/>
        </w:rPr>
        <w:t xml:space="preserve">do </w:t>
      </w:r>
      <w:r>
        <w:rPr>
          <w:sz w:val="16"/>
        </w:rPr>
        <w:t xml:space="preserve">tohoto </w:t>
      </w:r>
      <w:r>
        <w:rPr>
          <w:sz w:val="16"/>
        </w:rPr>
        <w:t xml:space="preserve">injekčního čerpadla </w:t>
      </w:r>
      <w:r>
        <w:rPr>
          <w:sz w:val="16"/>
        </w:rPr>
        <w:t xml:space="preserve">musí uživatelé </w:t>
      </w:r>
      <w:r>
        <w:rPr>
          <w:sz w:val="16"/>
        </w:rPr>
        <w:t xml:space="preserve">před použitím </w:t>
      </w:r>
      <w:r>
        <w:rPr>
          <w:sz w:val="16"/>
        </w:rPr>
        <w:t xml:space="preserve">kalibrovat </w:t>
      </w:r>
      <w:r>
        <w:rPr>
          <w:sz w:val="16"/>
        </w:rPr>
        <w:t xml:space="preserve">všechny </w:t>
      </w:r>
      <w:r>
        <w:rPr>
          <w:sz w:val="16"/>
        </w:rPr>
        <w:t>ostatní injekční stříkačky.</w:t>
      </w:r>
    </w:p>
    <w:p>
      <w:pPr>
        <w:pStyle w:val="ListParagraph"/>
        <w:numPr>
          <w:ilvl w:val="0"/>
          <w:numId w:val="23"/>
        </w:numPr>
        <w:tabs>
          <w:tab w:val="left" w:pos="553"/>
        </w:tabs>
        <w:spacing w:before="153" w:after="0" w:line="273" w:lineRule="auto"/>
        <w:ind w:left="295" w:right="293" w:firstLine="0"/>
        <w:jc w:val="both"/>
        <w:rPr>
          <w:sz w:val="18"/>
        </w:rPr>
      </w:pPr>
      <w:r>
        <w:rPr>
          <w:sz w:val="16"/>
        </w:rPr>
        <w:t xml:space="preserve">Během procesu injekce </w:t>
      </w:r>
      <w:r>
        <w:rPr>
          <w:sz w:val="16"/>
        </w:rPr>
        <w:t xml:space="preserve">stříkačková pumpa přesně řídí </w:t>
      </w:r>
      <w:r>
        <w:rPr>
          <w:sz w:val="16"/>
        </w:rPr>
        <w:t>průtok, objem a dobu injekce a nepřetržitě monitoruje rychlost a směr krokového motoru, aby účinně zabránila nadměrné infuzi, nedostatečné infuzi a zpětnému sifonování.</w:t>
      </w:r>
    </w:p>
    <w:p>
      <w:pPr>
        <w:pStyle w:val="ListParagraph"/>
        <w:spacing w:after="0" w:line="273" w:lineRule="auto"/>
        <w:jc w:val="both"/>
        <w:rPr>
          <w:sz w:val="18"/>
        </w:rPr>
        <w:sectPr>
          <w:pgSz w:w="8390" w:h="11910"/>
          <w:pgMar w:top="640" w:right="425" w:bottom="540" w:left="425" w:header="0" w:footer="342"/>
          <w:cols w:space="708"/>
        </w:sectPr>
      </w:pPr>
    </w:p>
    <w:p>
      <w:pPr>
        <w:pStyle w:val="ListParagraph"/>
        <w:numPr>
          <w:ilvl w:val="0"/>
          <w:numId w:val="23"/>
        </w:numPr>
        <w:tabs>
          <w:tab w:val="left" w:pos="672"/>
        </w:tabs>
        <w:spacing w:before="73" w:after="0" w:line="273" w:lineRule="auto"/>
        <w:ind w:left="295" w:right="293" w:firstLine="0"/>
        <w:jc w:val="left"/>
        <w:rPr>
          <w:sz w:val="18"/>
        </w:rPr>
      </w:pPr>
      <w:r>
        <w:rPr>
          <w:sz w:val="16"/>
        </w:rPr>
        <w:t xml:space="preserve">Během </w:t>
      </w:r>
      <w:r>
        <w:rPr>
          <w:sz w:val="16"/>
        </w:rPr>
        <w:t xml:space="preserve">používání </w:t>
      </w:r>
      <w:r>
        <w:rPr>
          <w:sz w:val="16"/>
        </w:rPr>
        <w:t xml:space="preserve">injekčního </w:t>
      </w:r>
      <w:r>
        <w:rPr>
          <w:sz w:val="16"/>
        </w:rPr>
        <w:t xml:space="preserve">pumpy </w:t>
      </w:r>
      <w:r>
        <w:rPr>
          <w:sz w:val="16"/>
        </w:rPr>
        <w:t xml:space="preserve">by měla </w:t>
      </w:r>
      <w:r>
        <w:rPr>
          <w:sz w:val="16"/>
        </w:rPr>
        <w:t xml:space="preserve">být </w:t>
      </w:r>
      <w:r>
        <w:rPr>
          <w:sz w:val="16"/>
        </w:rPr>
        <w:t xml:space="preserve">pravidelně </w:t>
      </w:r>
      <w:r>
        <w:rPr>
          <w:sz w:val="16"/>
        </w:rPr>
        <w:t xml:space="preserve">monitorována </w:t>
      </w:r>
      <w:r>
        <w:rPr>
          <w:sz w:val="16"/>
        </w:rPr>
        <w:t>odborným zdravotnickým personálem</w:t>
      </w:r>
      <w:r>
        <w:rPr>
          <w:sz w:val="16"/>
        </w:rPr>
        <w:t>,</w:t>
      </w:r>
      <w:r>
        <w:rPr>
          <w:sz w:val="16"/>
        </w:rPr>
        <w:t xml:space="preserve"> aby se zabránilo chybám při infuzi v různých kanálech.</w:t>
      </w:r>
    </w:p>
    <w:p>
      <w:pPr>
        <w:pStyle w:val="BodyText"/>
        <w:spacing w:before="0"/>
        <w:ind w:left="0"/>
      </w:pPr>
    </w:p>
    <w:p>
      <w:pPr>
        <w:pStyle w:val="BodyText"/>
        <w:spacing w:before="34"/>
        <w:ind w:left="0"/>
      </w:pPr>
    </w:p>
    <w:p>
      <w:pPr>
        <w:pStyle w:val="Heading1"/>
        <w:numPr>
          <w:ilvl w:val="0"/>
          <w:numId w:val="1"/>
        </w:numPr>
        <w:tabs>
          <w:tab w:val="left" w:pos="493"/>
        </w:tabs>
        <w:spacing w:before="0" w:after="0" w:line="240" w:lineRule="auto"/>
        <w:ind w:left="493" w:right="0" w:hanging="198"/>
        <w:jc w:val="left"/>
      </w:pPr>
      <w:bookmarkStart w:id="58" w:name="8. Method of Use"/>
      <w:bookmarkEnd w:id="58"/>
      <w:bookmarkStart w:id="59" w:name="_bookmark29"/>
      <w:bookmarkEnd w:id="59"/>
      <w:r>
        <w:rPr>
          <w:sz w:val="18"/>
        </w:rPr>
        <w:t xml:space="preserve">Způsob </w:t>
      </w:r>
      <w:r>
        <w:rPr>
          <w:spacing w:val="-5"/>
          <w:sz w:val="18"/>
        </w:rPr>
        <w:t>použití</w:t>
      </w:r>
    </w:p>
    <w:p>
      <w:pPr>
        <w:pStyle w:val="BodyText"/>
        <w:spacing w:before="180" w:line="278" w:lineRule="auto"/>
        <w:ind w:right="293"/>
        <w:jc w:val="both"/>
      </w:pPr>
      <w:r>
        <w:rPr>
          <w:sz w:val="16"/>
        </w:rPr>
        <w:t>Způsob použití uvedený v této části je založen na Pokynech pro testování provozní bezpečnosti a měl by být prováděn v souladu s nimi.</w:t>
      </w:r>
    </w:p>
    <w:p>
      <w:pPr>
        <w:pStyle w:val="BodyText"/>
        <w:spacing w:before="81"/>
        <w:ind w:left="0"/>
      </w:pPr>
    </w:p>
    <w:p>
      <w:pPr>
        <w:pStyle w:val="Heading1"/>
        <w:numPr>
          <w:ilvl w:val="1"/>
          <w:numId w:val="1"/>
        </w:numPr>
        <w:tabs>
          <w:tab w:val="left" w:pos="593"/>
        </w:tabs>
        <w:spacing w:before="0" w:after="0" w:line="240" w:lineRule="auto"/>
        <w:ind w:left="593" w:right="0" w:hanging="298"/>
        <w:jc w:val="left"/>
      </w:pPr>
      <w:bookmarkStart w:id="60" w:name="8.1 Infusion Operation"/>
      <w:bookmarkEnd w:id="60"/>
      <w:bookmarkStart w:id="61" w:name="_bookmark30"/>
      <w:bookmarkEnd w:id="61"/>
      <w:r>
        <w:rPr>
          <w:spacing w:val="-2"/>
          <w:sz w:val="18"/>
        </w:rPr>
        <w:t xml:space="preserve">Provoz </w:t>
      </w:r>
      <w:r>
        <w:rPr>
          <w:sz w:val="18"/>
        </w:rPr>
        <w:t>infuze</w:t>
      </w:r>
    </w:p>
    <w:p>
      <w:pPr>
        <w:pStyle w:val="Heading2"/>
        <w:numPr>
          <w:ilvl w:val="2"/>
          <w:numId w:val="1"/>
        </w:numPr>
        <w:tabs>
          <w:tab w:val="left" w:pos="698"/>
        </w:tabs>
        <w:spacing w:before="60" w:after="0" w:line="240" w:lineRule="auto"/>
        <w:ind w:left="698" w:right="0" w:hanging="403"/>
        <w:jc w:val="left"/>
      </w:pPr>
      <w:r>
        <w:rPr>
          <w:sz w:val="16"/>
        </w:rPr>
        <w:t xml:space="preserve">Zajistěte </w:t>
      </w:r>
      <w:r>
        <w:rPr>
          <w:sz w:val="16"/>
        </w:rPr>
        <w:t xml:space="preserve">přístroj </w:t>
      </w:r>
      <w:r>
        <w:rPr>
          <w:sz w:val="16"/>
        </w:rPr>
        <w:t xml:space="preserve">a </w:t>
      </w:r>
      <w:r>
        <w:rPr>
          <w:sz w:val="16"/>
        </w:rPr>
        <w:t xml:space="preserve">připojte </w:t>
      </w:r>
      <w:r>
        <w:rPr>
          <w:sz w:val="16"/>
        </w:rPr>
        <w:t xml:space="preserve">napájecí </w:t>
      </w:r>
      <w:r>
        <w:rPr>
          <w:spacing w:val="-4"/>
          <w:sz w:val="16"/>
        </w:rPr>
        <w:t>kabel</w:t>
      </w:r>
    </w:p>
    <w:p>
      <w:pPr>
        <w:pStyle w:val="BodyText"/>
        <w:spacing w:before="182" w:line="278" w:lineRule="auto"/>
        <w:ind w:right="293"/>
        <w:jc w:val="both"/>
      </w:pPr>
      <w:r>
        <w:rPr>
          <w:sz w:val="16"/>
        </w:rPr>
        <w:t xml:space="preserve">Po provedení instalačních </w:t>
      </w:r>
      <w:r>
        <w:rPr>
          <w:sz w:val="16"/>
        </w:rPr>
        <w:t xml:space="preserve">kroků popsaných </w:t>
      </w:r>
      <w:r>
        <w:rPr>
          <w:sz w:val="16"/>
        </w:rPr>
        <w:t xml:space="preserve">v části 5.3 </w:t>
      </w:r>
      <w:r>
        <w:rPr>
          <w:sz w:val="16"/>
        </w:rPr>
        <w:t xml:space="preserve">připojte injekční pumpu k </w:t>
      </w:r>
      <w:r>
        <w:rPr>
          <w:sz w:val="16"/>
        </w:rPr>
        <w:t xml:space="preserve">síti střídavého proudu. V tomto okamžiku </w:t>
      </w:r>
      <w:r>
        <w:rPr>
          <w:sz w:val="16"/>
        </w:rPr>
        <w:t xml:space="preserve">se rozsvítí kontrolka střídavého proudu na pumpě. </w:t>
      </w:r>
      <w:r>
        <w:rPr>
          <w:sz w:val="16"/>
        </w:rPr>
        <w:t>Pokud je zařízení připojeno k externímu zdroji napájení, začne se nabíjet baterie.</w:t>
      </w:r>
    </w:p>
    <w:p>
      <w:pPr>
        <w:pStyle w:val="BodyText"/>
        <w:spacing w:before="18"/>
        <w:ind w:left="0"/>
      </w:pPr>
    </w:p>
    <w:p>
      <w:pPr>
        <w:pStyle w:val="Heading2"/>
        <w:numPr>
          <w:ilvl w:val="2"/>
          <w:numId w:val="1"/>
        </w:numPr>
        <w:tabs>
          <w:tab w:val="left" w:pos="693"/>
        </w:tabs>
        <w:spacing w:before="0" w:after="0" w:line="240" w:lineRule="auto"/>
        <w:ind w:left="693" w:right="0" w:hanging="398"/>
        <w:jc w:val="left"/>
      </w:pPr>
      <w:r>
        <w:rPr>
          <w:spacing w:val="-2"/>
          <w:sz w:val="16"/>
        </w:rPr>
        <w:t>Zapnutí</w:t>
      </w:r>
      <w:r>
        <w:rPr>
          <w:spacing w:val="-2"/>
          <w:sz w:val="16"/>
        </w:rPr>
        <w:t>/vypnutí</w:t>
      </w:r>
    </w:p>
    <w:p>
      <w:pPr>
        <w:pStyle w:val="BodyText"/>
        <w:spacing w:before="56" w:line="264" w:lineRule="auto"/>
        <w:ind w:right="353"/>
      </w:pPr>
      <w:r>
        <w:rPr>
          <w:sz w:val="16"/>
        </w:rPr>
        <w:t xml:space="preserve">Zapnutí: </w:t>
      </w:r>
      <w:r>
        <w:rPr>
          <w:sz w:val="16"/>
        </w:rPr>
        <w:t xml:space="preserve">Dlouze stiskněte </w:t>
      </w:r>
      <w:r>
        <w:rPr>
          <w:sz w:val="16"/>
        </w:rPr>
        <w:t xml:space="preserve">tlačítko </w:t>
      </w:r>
      <w:r>
        <w:rPr>
          <w:sz w:val="16"/>
        </w:rPr>
        <w:t xml:space="preserve">napájení </w:t>
      </w:r>
      <w:r>
        <w:rPr>
          <w:sz w:val="16"/>
        </w:rPr>
        <w:t xml:space="preserve">označené </w:t>
      </w:r>
      <w:r>
        <w:rPr>
          <w:sz w:val="16"/>
        </w:rPr>
        <w:t xml:space="preserve">symbolem </w:t>
      </w:r>
      <w:r>
        <w:rPr>
          <w:sz w:val="16"/>
        </w:rPr>
        <w:t>„</w:t>
      </w:r>
      <w:r>
        <w:rPr>
          <w:spacing w:val="-2"/>
        </w:rPr>
        <w:drawing>
          <wp:inline distT="0" distB="0" distL="0" distR="0">
            <wp:extent cx="198119" cy="185927"/>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xmlns:r="http://schemas.openxmlformats.org/officeDocument/2006/relationships" r:embed="rId47" cstate="print"/>
                    <a:stretch>
                      <a:fillRect/>
                    </a:stretch>
                  </pic:blipFill>
                  <pic:spPr>
                    <a:xfrm>
                      <a:off x="0" y="0"/>
                      <a:ext cx="198119" cy="185927"/>
                    </a:xfrm>
                    <a:prstGeom prst="rect">
                      <a:avLst/>
                    </a:prstGeom>
                  </pic:spPr>
                </pic:pic>
              </a:graphicData>
            </a:graphic>
          </wp:inline>
        </w:drawing>
      </w:r>
      <w:r>
        <w:rPr>
          <w:sz w:val="16"/>
        </w:rPr>
        <w:t xml:space="preserve"> “ (Napájení). </w:t>
      </w:r>
      <w:r>
        <w:rPr>
          <w:sz w:val="16"/>
        </w:rPr>
        <w:t xml:space="preserve">Systém </w:t>
      </w:r>
      <w:r>
        <w:rPr>
          <w:sz w:val="16"/>
        </w:rPr>
        <w:t xml:space="preserve">se spustí </w:t>
      </w:r>
      <w:r>
        <w:rPr>
          <w:sz w:val="16"/>
        </w:rPr>
        <w:t xml:space="preserve">a provede autodiagnostiku. </w:t>
      </w:r>
      <w:r>
        <w:rPr>
          <w:sz w:val="16"/>
        </w:rPr>
        <w:t>Po dokončení autodiagnostiky přejde do posledního použitého režimu.</w:t>
      </w:r>
    </w:p>
    <w:p>
      <w:pPr>
        <w:pStyle w:val="BodyText"/>
        <w:spacing w:before="4"/>
        <w:ind w:left="0"/>
        <w:rPr>
          <w:sz w:val="5"/>
        </w:rPr>
      </w:pPr>
      <w:r>
        <w:rPr>
          <w:sz w:val="5"/>
        </w:rPr>
        <w:drawing>
          <wp:anchor distT="0" distB="0" distL="0" distR="0" simplePos="0" relativeHeight="251683840" behindDoc="1" locked="0" layoutInCell="1" allowOverlap="1">
            <wp:simplePos x="0" y="0"/>
            <wp:positionH relativeFrom="page">
              <wp:posOffset>818388</wp:posOffset>
            </wp:positionH>
            <wp:positionV relativeFrom="paragraph">
              <wp:posOffset>54629</wp:posOffset>
            </wp:positionV>
            <wp:extent cx="1794026" cy="1358264"/>
            <wp:effectExtent l="0" t="0" r="0" b="0"/>
            <wp:wrapTopAndBottom/>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xmlns:r="http://schemas.openxmlformats.org/officeDocument/2006/relationships" r:embed="rId48" cstate="print"/>
                    <a:stretch>
                      <a:fillRect/>
                    </a:stretch>
                  </pic:blipFill>
                  <pic:spPr>
                    <a:xfrm>
                      <a:off x="0" y="0"/>
                      <a:ext cx="1794026" cy="1358264"/>
                    </a:xfrm>
                    <a:prstGeom prst="rect">
                      <a:avLst/>
                    </a:prstGeom>
                  </pic:spPr>
                </pic:pic>
              </a:graphicData>
            </a:graphic>
          </wp:anchor>
        </w:drawing>
      </w:r>
      <w:r>
        <w:rPr>
          <w:sz w:val="5"/>
        </w:rPr>
        <w:drawing>
          <wp:anchor distT="0" distB="0" distL="0" distR="0" simplePos="0" relativeHeight="251684864" behindDoc="1" locked="0" layoutInCell="1" allowOverlap="1">
            <wp:simplePos x="0" y="0"/>
            <wp:positionH relativeFrom="page">
              <wp:posOffset>2697479</wp:posOffset>
            </wp:positionH>
            <wp:positionV relativeFrom="paragraph">
              <wp:posOffset>54629</wp:posOffset>
            </wp:positionV>
            <wp:extent cx="1836250" cy="1386839"/>
            <wp:effectExtent l="0" t="0" r="0" b="0"/>
            <wp:wrapTopAndBottom/>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xmlns:r="http://schemas.openxmlformats.org/officeDocument/2006/relationships" r:embed="rId49" cstate="print"/>
                    <a:stretch>
                      <a:fillRect/>
                    </a:stretch>
                  </pic:blipFill>
                  <pic:spPr>
                    <a:xfrm>
                      <a:off x="0" y="0"/>
                      <a:ext cx="1836250" cy="1386839"/>
                    </a:xfrm>
                    <a:prstGeom prst="rect">
                      <a:avLst/>
                    </a:prstGeom>
                  </pic:spPr>
                </pic:pic>
              </a:graphicData>
            </a:graphic>
          </wp:anchor>
        </w:drawing>
      </w:r>
    </w:p>
    <w:p>
      <w:pPr>
        <w:pStyle w:val="BodyText"/>
        <w:spacing w:before="180"/>
      </w:pPr>
      <w:r>
        <w:rPr>
          <w:sz w:val="16"/>
        </w:rPr>
        <w:t xml:space="preserve">Vypnutí: </w:t>
      </w:r>
      <w:r>
        <w:rPr>
          <w:sz w:val="16"/>
        </w:rPr>
        <w:t xml:space="preserve">Stiskněte </w:t>
      </w:r>
      <w:r>
        <w:rPr>
          <w:sz w:val="16"/>
        </w:rPr>
        <w:t xml:space="preserve">tlačítko </w:t>
      </w:r>
      <w:r>
        <w:rPr>
          <w:sz w:val="16"/>
        </w:rPr>
        <w:t xml:space="preserve">napájení </w:t>
      </w:r>
      <w:r>
        <w:rPr>
          <w:sz w:val="16"/>
        </w:rPr>
        <w:t xml:space="preserve">označené </w:t>
      </w:r>
      <w:r>
        <w:rPr>
          <w:sz w:val="16"/>
        </w:rPr>
        <w:t>symbolem</w:t>
      </w:r>
      <w:r>
        <w:rPr>
          <w:spacing w:val="-2"/>
        </w:rPr>
        <w:drawing>
          <wp:inline distT="0" distB="0" distL="0" distR="0">
            <wp:extent cx="198119" cy="185927"/>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xmlns:r="http://schemas.openxmlformats.org/officeDocument/2006/relationships" r:embed="rId47" cstate="print"/>
                    <a:stretch>
                      <a:fillRect/>
                    </a:stretch>
                  </pic:blipFill>
                  <pic:spPr>
                    <a:xfrm>
                      <a:off x="0" y="0"/>
                      <a:ext cx="198119" cy="185927"/>
                    </a:xfrm>
                    <a:prstGeom prst="rect">
                      <a:avLst/>
                    </a:prstGeom>
                  </pic:spPr>
                </pic:pic>
              </a:graphicData>
            </a:graphic>
          </wp:inline>
        </w:drawing>
      </w:r>
      <w:r>
        <w:rPr>
          <w:sz w:val="16"/>
        </w:rPr>
        <w:t xml:space="preserve"> na </w:t>
      </w:r>
      <w:r>
        <w:rPr>
          <w:sz w:val="16"/>
        </w:rPr>
        <w:t>přibližně</w:t>
      </w:r>
      <w:r>
        <w:rPr>
          <w:sz w:val="16"/>
        </w:rPr>
        <w:t xml:space="preserve"> 2 </w:t>
      </w:r>
      <w:r>
        <w:rPr>
          <w:spacing w:val="-2"/>
          <w:sz w:val="16"/>
        </w:rPr>
        <w:t>sekundy.</w:t>
      </w:r>
    </w:p>
    <w:p>
      <w:pPr>
        <w:pStyle w:val="BodyText"/>
        <w:spacing w:before="5"/>
        <w:ind w:left="0"/>
        <w:rPr>
          <w:sz w:val="5"/>
        </w:rPr>
      </w:pPr>
      <w:r>
        <w:rPr>
          <w:sz w:val="5"/>
        </w:rPr>
        <w:drawing>
          <wp:anchor distT="0" distB="0" distL="0" distR="0" simplePos="0" relativeHeight="251685888" behindDoc="1" locked="0" layoutInCell="1" allowOverlap="1">
            <wp:simplePos x="0" y="0"/>
            <wp:positionH relativeFrom="page">
              <wp:posOffset>1755648</wp:posOffset>
            </wp:positionH>
            <wp:positionV relativeFrom="paragraph">
              <wp:posOffset>55413</wp:posOffset>
            </wp:positionV>
            <wp:extent cx="1775137" cy="1337310"/>
            <wp:effectExtent l="0" t="0" r="0" b="0"/>
            <wp:wrapTopAndBottom/>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xmlns:r="http://schemas.openxmlformats.org/officeDocument/2006/relationships" r:embed="rId50" cstate="print"/>
                    <a:stretch>
                      <a:fillRect/>
                    </a:stretch>
                  </pic:blipFill>
                  <pic:spPr>
                    <a:xfrm>
                      <a:off x="0" y="0"/>
                      <a:ext cx="1775137" cy="1337310"/>
                    </a:xfrm>
                    <a:prstGeom prst="rect">
                      <a:avLst/>
                    </a:prstGeom>
                  </pic:spPr>
                </pic:pic>
              </a:graphicData>
            </a:graphic>
          </wp:anchor>
        </w:drawing>
      </w:r>
    </w:p>
    <w:p>
      <w:pPr>
        <w:pStyle w:val="BodyText"/>
        <w:spacing w:after="0"/>
        <w:rPr>
          <w:sz w:val="5"/>
        </w:rPr>
        <w:sectPr>
          <w:pgSz w:w="8390" w:h="11910"/>
          <w:pgMar w:top="660" w:right="425" w:bottom="540" w:left="425" w:header="0" w:footer="342"/>
          <w:cols w:space="708"/>
        </w:sectPr>
      </w:pPr>
    </w:p>
    <w:p>
      <w:pPr>
        <w:pStyle w:val="Heading2"/>
        <w:numPr>
          <w:ilvl w:val="2"/>
          <w:numId w:val="1"/>
        </w:numPr>
        <w:tabs>
          <w:tab w:val="left" w:pos="698"/>
        </w:tabs>
        <w:spacing w:before="74" w:after="0" w:line="240" w:lineRule="auto"/>
        <w:ind w:left="698" w:right="0" w:hanging="403"/>
        <w:jc w:val="left"/>
      </w:pPr>
      <w:r>
        <w:rPr>
          <w:sz w:val="16"/>
        </w:rPr>
        <w:t xml:space="preserve">Instalace </w:t>
      </w:r>
      <w:r>
        <w:rPr>
          <w:sz w:val="16"/>
        </w:rPr>
        <w:t xml:space="preserve">injekční </w:t>
      </w:r>
      <w:r>
        <w:rPr>
          <w:spacing w:val="-2"/>
          <w:sz w:val="16"/>
        </w:rPr>
        <w:t>stříkačky</w:t>
      </w:r>
    </w:p>
    <w:p>
      <w:pPr>
        <w:pStyle w:val="BodyText"/>
        <w:spacing w:before="87"/>
        <w:ind w:left="0"/>
        <w:rPr>
          <w:b/>
          <w:sz w:val="20"/>
        </w:rPr>
      </w:pPr>
      <w:r>
        <w:rPr>
          <w:b/>
          <w:sz w:val="20"/>
        </w:rPr>
        <w:drawing>
          <wp:anchor distT="0" distB="0" distL="0" distR="0" simplePos="0" relativeHeight="251686912" behindDoc="1" locked="0" layoutInCell="1" allowOverlap="1">
            <wp:simplePos x="0" y="0"/>
            <wp:positionH relativeFrom="page">
              <wp:posOffset>984503</wp:posOffset>
            </wp:positionH>
            <wp:positionV relativeFrom="paragraph">
              <wp:posOffset>216927</wp:posOffset>
            </wp:positionV>
            <wp:extent cx="3373429" cy="944118"/>
            <wp:effectExtent l="0" t="0" r="0" b="0"/>
            <wp:wrapTopAndBottom/>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xmlns:r="http://schemas.openxmlformats.org/officeDocument/2006/relationships" r:embed="rId51" cstate="print"/>
                    <a:stretch>
                      <a:fillRect/>
                    </a:stretch>
                  </pic:blipFill>
                  <pic:spPr>
                    <a:xfrm>
                      <a:off x="0" y="0"/>
                      <a:ext cx="3373429" cy="944118"/>
                    </a:xfrm>
                    <a:prstGeom prst="rect">
                      <a:avLst/>
                    </a:prstGeom>
                  </pic:spPr>
                </pic:pic>
              </a:graphicData>
            </a:graphic>
          </wp:anchor>
        </w:drawing>
      </w:r>
      <w:r>
        <w:rPr>
          <w:b/>
          <w:sz w:val="20"/>
        </w:rPr>
        <w:drawing>
          <wp:anchor distT="0" distB="0" distL="0" distR="0" simplePos="0" relativeHeight="251687936" behindDoc="1" locked="0" layoutInCell="1" allowOverlap="1">
            <wp:simplePos x="0" y="0"/>
            <wp:positionH relativeFrom="page">
              <wp:posOffset>897636</wp:posOffset>
            </wp:positionH>
            <wp:positionV relativeFrom="paragraph">
              <wp:posOffset>1382787</wp:posOffset>
            </wp:positionV>
            <wp:extent cx="3591076" cy="1261872"/>
            <wp:effectExtent l="0" t="0" r="0" b="0"/>
            <wp:wrapTopAndBottom/>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xmlns:r="http://schemas.openxmlformats.org/officeDocument/2006/relationships" r:embed="rId52" cstate="print"/>
                    <a:stretch>
                      <a:fillRect/>
                    </a:stretch>
                  </pic:blipFill>
                  <pic:spPr>
                    <a:xfrm>
                      <a:off x="0" y="0"/>
                      <a:ext cx="3591076" cy="1261872"/>
                    </a:xfrm>
                    <a:prstGeom prst="rect">
                      <a:avLst/>
                    </a:prstGeom>
                  </pic:spPr>
                </pic:pic>
              </a:graphicData>
            </a:graphic>
          </wp:anchor>
        </w:drawing>
      </w:r>
      <w:r>
        <w:rPr>
          <w:b/>
          <w:sz w:val="20"/>
        </w:rPr>
        <w:drawing>
          <wp:anchor distT="0" distB="0" distL="0" distR="0" simplePos="0" relativeHeight="251688960" behindDoc="1" locked="0" layoutInCell="1" allowOverlap="1">
            <wp:simplePos x="0" y="0"/>
            <wp:positionH relativeFrom="page">
              <wp:posOffset>847344</wp:posOffset>
            </wp:positionH>
            <wp:positionV relativeFrom="paragraph">
              <wp:posOffset>2943363</wp:posOffset>
            </wp:positionV>
            <wp:extent cx="3632977" cy="1353312"/>
            <wp:effectExtent l="0" t="0" r="0" b="0"/>
            <wp:wrapTopAndBottom/>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xmlns:r="http://schemas.openxmlformats.org/officeDocument/2006/relationships" r:embed="rId53" cstate="print"/>
                    <a:stretch>
                      <a:fillRect/>
                    </a:stretch>
                  </pic:blipFill>
                  <pic:spPr>
                    <a:xfrm>
                      <a:off x="0" y="0"/>
                      <a:ext cx="3632977" cy="1353312"/>
                    </a:xfrm>
                    <a:prstGeom prst="rect">
                      <a:avLst/>
                    </a:prstGeom>
                  </pic:spPr>
                </pic:pic>
              </a:graphicData>
            </a:graphic>
          </wp:anchor>
        </w:drawing>
      </w:r>
      <w:r>
        <w:rPr>
          <w:b/>
          <w:sz w:val="20"/>
        </w:rPr>
        <w:drawing>
          <wp:anchor distT="0" distB="0" distL="0" distR="0" simplePos="0" relativeHeight="251689984" behindDoc="1" locked="0" layoutInCell="1" allowOverlap="1">
            <wp:simplePos x="0" y="0"/>
            <wp:positionH relativeFrom="page">
              <wp:posOffset>731519</wp:posOffset>
            </wp:positionH>
            <wp:positionV relativeFrom="paragraph">
              <wp:posOffset>4595379</wp:posOffset>
            </wp:positionV>
            <wp:extent cx="3787557" cy="1657350"/>
            <wp:effectExtent l="0" t="0" r="0" b="0"/>
            <wp:wrapTopAndBottom/>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xmlns:r="http://schemas.openxmlformats.org/officeDocument/2006/relationships" r:embed="rId54" cstate="print"/>
                    <a:stretch>
                      <a:fillRect/>
                    </a:stretch>
                  </pic:blipFill>
                  <pic:spPr>
                    <a:xfrm>
                      <a:off x="0" y="0"/>
                      <a:ext cx="3787557" cy="1657350"/>
                    </a:xfrm>
                    <a:prstGeom prst="rect">
                      <a:avLst/>
                    </a:prstGeom>
                  </pic:spPr>
                </pic:pic>
              </a:graphicData>
            </a:graphic>
          </wp:anchor>
        </w:drawing>
      </w:r>
    </w:p>
    <w:p>
      <w:pPr>
        <w:pStyle w:val="BodyText"/>
        <w:spacing w:before="95"/>
        <w:ind w:left="0"/>
        <w:rPr>
          <w:b/>
          <w:sz w:val="20"/>
        </w:rPr>
      </w:pPr>
    </w:p>
    <w:p>
      <w:pPr>
        <w:pStyle w:val="BodyText"/>
        <w:spacing w:before="216"/>
        <w:ind w:left="0"/>
        <w:rPr>
          <w:b/>
          <w:sz w:val="20"/>
        </w:rPr>
      </w:pPr>
    </w:p>
    <w:p>
      <w:pPr>
        <w:pStyle w:val="BodyText"/>
        <w:spacing w:before="216"/>
        <w:ind w:left="0"/>
        <w:rPr>
          <w:b/>
          <w:sz w:val="20"/>
        </w:rPr>
      </w:pPr>
    </w:p>
    <w:p>
      <w:pPr>
        <w:pStyle w:val="BodyText"/>
        <w:spacing w:after="0"/>
        <w:rPr>
          <w:b/>
          <w:sz w:val="20"/>
        </w:rPr>
        <w:sectPr>
          <w:pgSz w:w="8390" w:h="11910"/>
          <w:pgMar w:top="640" w:right="425" w:bottom="540" w:left="425" w:header="0" w:footer="342"/>
          <w:cols w:space="708"/>
        </w:sectPr>
      </w:pPr>
    </w:p>
    <w:p>
      <w:pPr>
        <w:pStyle w:val="BodyText"/>
        <w:spacing w:before="78" w:line="278" w:lineRule="auto"/>
        <w:ind w:right="293"/>
        <w:jc w:val="both"/>
      </w:pPr>
      <w:r>
        <w:rPr>
          <w:sz w:val="16"/>
        </w:rPr>
        <w:t xml:space="preserve">Po instalaci injekční stříkačka automaticky identifikuje specifikace injekční stříkačky a zobrazí je v levém horním rohu obrazovky. Ujistěte se, že odpovídají skutečnému stavu. </w:t>
      </w:r>
      <w:r>
        <w:rPr>
          <w:sz w:val="16"/>
        </w:rPr>
        <w:t>V případě nesouladu nelze zaručit přesnost injekce a funkci alarmu.</w:t>
      </w:r>
    </w:p>
    <w:p>
      <w:pPr>
        <w:spacing w:before="155"/>
        <w:ind w:left="295" w:right="0" w:firstLine="0"/>
        <w:jc w:val="both"/>
        <w:rPr>
          <w:b/>
          <w:sz w:val="18"/>
        </w:rPr>
      </w:pPr>
      <w:r>
        <w:rPr>
          <w:b/>
          <w:sz w:val="16"/>
        </w:rPr>
        <w:t xml:space="preserve">Poznámka: </w:t>
      </w:r>
      <w:r>
        <w:rPr>
          <w:b/>
          <w:sz w:val="16"/>
        </w:rPr>
        <w:t xml:space="preserve">(1) </w:t>
      </w:r>
      <w:r>
        <w:rPr>
          <w:b/>
          <w:sz w:val="16"/>
        </w:rPr>
        <w:t xml:space="preserve">Zkontrolujte </w:t>
      </w:r>
      <w:r>
        <w:rPr>
          <w:b/>
          <w:sz w:val="16"/>
        </w:rPr>
        <w:t xml:space="preserve">a </w:t>
      </w:r>
      <w:r>
        <w:rPr>
          <w:b/>
          <w:sz w:val="16"/>
        </w:rPr>
        <w:t>ujistěte se</w:t>
      </w:r>
      <w:r>
        <w:rPr>
          <w:b/>
          <w:sz w:val="16"/>
        </w:rPr>
        <w:t xml:space="preserve">, že </w:t>
      </w:r>
      <w:r>
        <w:rPr>
          <w:b/>
          <w:sz w:val="16"/>
        </w:rPr>
        <w:t xml:space="preserve">v </w:t>
      </w:r>
      <w:r>
        <w:rPr>
          <w:b/>
          <w:sz w:val="16"/>
        </w:rPr>
        <w:t xml:space="preserve">injekční </w:t>
      </w:r>
      <w:r>
        <w:rPr>
          <w:b/>
          <w:spacing w:val="-2"/>
          <w:sz w:val="16"/>
        </w:rPr>
        <w:t xml:space="preserve">stříkačce </w:t>
      </w:r>
      <w:r>
        <w:rPr>
          <w:b/>
          <w:sz w:val="16"/>
        </w:rPr>
        <w:t xml:space="preserve">nejsou </w:t>
      </w:r>
      <w:r>
        <w:rPr>
          <w:b/>
          <w:sz w:val="16"/>
        </w:rPr>
        <w:t xml:space="preserve">žádné </w:t>
      </w:r>
      <w:r>
        <w:rPr>
          <w:b/>
          <w:sz w:val="16"/>
        </w:rPr>
        <w:t xml:space="preserve">vzduchové </w:t>
      </w:r>
      <w:r>
        <w:rPr>
          <w:b/>
          <w:sz w:val="16"/>
        </w:rPr>
        <w:t>bubliny</w:t>
      </w:r>
      <w:r>
        <w:rPr>
          <w:b/>
          <w:spacing w:val="-2"/>
          <w:sz w:val="16"/>
        </w:rPr>
        <w:t>.</w:t>
      </w:r>
    </w:p>
    <w:p>
      <w:pPr>
        <w:spacing w:before="189" w:line="278" w:lineRule="auto"/>
        <w:ind w:left="295" w:right="294" w:firstLine="0"/>
        <w:jc w:val="both"/>
        <w:rPr>
          <w:b/>
          <w:sz w:val="18"/>
        </w:rPr>
      </w:pPr>
      <w:r>
        <w:rPr>
          <w:b/>
          <w:sz w:val="16"/>
        </w:rPr>
        <w:t>(2) Ujistěte se, že je injekční stříkačka správně nainstalována; v opačném případě nelze zaručit přesnost a mohlo by také dojít k tomu, že se lék nevydá vůbec nebo se vydá příliš velké množství v důsledku sifonování, což by mohlo pacientovi ublížit.</w:t>
      </w:r>
    </w:p>
    <w:p>
      <w:pPr>
        <w:pStyle w:val="BodyText"/>
        <w:spacing w:before="0"/>
        <w:ind w:left="0"/>
        <w:rPr>
          <w:b/>
        </w:rPr>
      </w:pPr>
    </w:p>
    <w:p>
      <w:pPr>
        <w:pStyle w:val="BodyText"/>
        <w:spacing w:before="145"/>
        <w:ind w:left="0"/>
        <w:rPr>
          <w:b/>
        </w:rPr>
      </w:pPr>
    </w:p>
    <w:p>
      <w:pPr>
        <w:pStyle w:val="ListParagraph"/>
        <w:numPr>
          <w:ilvl w:val="2"/>
          <w:numId w:val="1"/>
        </w:numPr>
        <w:tabs>
          <w:tab w:val="left" w:pos="698"/>
        </w:tabs>
        <w:spacing w:before="0" w:after="0" w:line="240" w:lineRule="auto"/>
        <w:ind w:left="698" w:right="0" w:hanging="403"/>
        <w:jc w:val="left"/>
        <w:rPr>
          <w:b/>
          <w:sz w:val="18"/>
        </w:rPr>
      </w:pPr>
      <w:r>
        <w:rPr>
          <w:b/>
          <w:sz w:val="16"/>
        </w:rPr>
        <w:t xml:space="preserve">Nastavení </w:t>
      </w:r>
      <w:r>
        <w:rPr>
          <w:b/>
          <w:spacing w:val="-2"/>
          <w:sz w:val="16"/>
        </w:rPr>
        <w:t xml:space="preserve">parametrů </w:t>
      </w:r>
      <w:r>
        <w:rPr>
          <w:b/>
          <w:sz w:val="16"/>
        </w:rPr>
        <w:t>infuze</w:t>
      </w:r>
    </w:p>
    <w:p>
      <w:pPr>
        <w:pStyle w:val="ListParagraph"/>
        <w:numPr>
          <w:ilvl w:val="0"/>
          <w:numId w:val="22"/>
        </w:numPr>
        <w:tabs>
          <w:tab w:val="left" w:pos="548"/>
        </w:tabs>
        <w:spacing w:before="180" w:after="0" w:line="240" w:lineRule="auto"/>
        <w:ind w:left="548" w:right="0" w:hanging="253"/>
        <w:jc w:val="left"/>
        <w:rPr>
          <w:sz w:val="18"/>
        </w:rPr>
      </w:pPr>
      <w:r>
        <w:rPr>
          <w:spacing w:val="-2"/>
          <w:sz w:val="16"/>
        </w:rPr>
        <w:t xml:space="preserve">Výběr </w:t>
      </w:r>
      <w:r>
        <w:rPr>
          <w:sz w:val="16"/>
        </w:rPr>
        <w:t xml:space="preserve">podnabídky </w:t>
      </w:r>
      <w:r>
        <w:rPr>
          <w:sz w:val="16"/>
        </w:rPr>
        <w:t>(</w:t>
      </w:r>
      <w:r>
        <w:rPr>
          <w:sz w:val="16"/>
        </w:rPr>
        <w:t xml:space="preserve">režim </w:t>
      </w:r>
      <w:r>
        <w:rPr>
          <w:sz w:val="16"/>
        </w:rPr>
        <w:t>injekce</w:t>
      </w:r>
      <w:r>
        <w:rPr>
          <w:sz w:val="16"/>
        </w:rPr>
        <w:t>)</w:t>
      </w:r>
    </w:p>
    <w:p>
      <w:pPr>
        <w:pStyle w:val="BodyText"/>
        <w:spacing w:before="8"/>
        <w:ind w:left="0"/>
        <w:rPr>
          <w:sz w:val="6"/>
        </w:rPr>
      </w:pPr>
      <w:r>
        <w:rPr>
          <w:sz w:val="6"/>
        </w:rPr>
        <w:drawing>
          <wp:anchor distT="0" distB="0" distL="0" distR="0" simplePos="0" relativeHeight="251691008" behindDoc="1" locked="0" layoutInCell="1" allowOverlap="1">
            <wp:simplePos x="0" y="0"/>
            <wp:positionH relativeFrom="page">
              <wp:posOffset>1761744</wp:posOffset>
            </wp:positionH>
            <wp:positionV relativeFrom="paragraph">
              <wp:posOffset>64573</wp:posOffset>
            </wp:positionV>
            <wp:extent cx="1801260" cy="1367313"/>
            <wp:effectExtent l="0" t="0" r="0" b="0"/>
            <wp:wrapTopAndBottom/>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xmlns:r="http://schemas.openxmlformats.org/officeDocument/2006/relationships" r:embed="rId55" cstate="print"/>
                    <a:stretch>
                      <a:fillRect/>
                    </a:stretch>
                  </pic:blipFill>
                  <pic:spPr>
                    <a:xfrm>
                      <a:off x="0" y="0"/>
                      <a:ext cx="1801260" cy="1367313"/>
                    </a:xfrm>
                    <a:prstGeom prst="rect">
                      <a:avLst/>
                    </a:prstGeom>
                  </pic:spPr>
                </pic:pic>
              </a:graphicData>
            </a:graphic>
          </wp:anchor>
        </w:drawing>
      </w:r>
    </w:p>
    <w:p>
      <w:pPr>
        <w:pStyle w:val="BodyText"/>
        <w:spacing w:before="69"/>
        <w:ind w:left="0"/>
      </w:pPr>
    </w:p>
    <w:p>
      <w:pPr>
        <w:pStyle w:val="ListParagraph"/>
        <w:numPr>
          <w:ilvl w:val="0"/>
          <w:numId w:val="22"/>
        </w:numPr>
        <w:tabs>
          <w:tab w:val="left" w:pos="548"/>
        </w:tabs>
        <w:spacing w:before="0" w:after="0" w:line="240" w:lineRule="auto"/>
        <w:ind w:left="548" w:right="0" w:hanging="253"/>
        <w:jc w:val="left"/>
        <w:rPr>
          <w:sz w:val="18"/>
        </w:rPr>
      </w:pPr>
      <w:r>
        <w:rPr>
          <w:sz w:val="16"/>
        </w:rPr>
        <w:t xml:space="preserve">Způsoby </w:t>
      </w:r>
      <w:r>
        <w:rPr>
          <w:sz w:val="16"/>
        </w:rPr>
        <w:t xml:space="preserve">nastavení </w:t>
      </w:r>
      <w:r>
        <w:rPr>
          <w:spacing w:val="-2"/>
          <w:sz w:val="16"/>
        </w:rPr>
        <w:t xml:space="preserve">parametrů </w:t>
      </w:r>
      <w:r>
        <w:rPr>
          <w:sz w:val="16"/>
        </w:rPr>
        <w:t>injekce</w:t>
      </w:r>
      <w:r>
        <w:rPr>
          <w:spacing w:val="-2"/>
          <w:sz w:val="16"/>
        </w:rPr>
        <w:t>:</w:t>
      </w:r>
    </w:p>
    <w:p>
      <w:pPr>
        <w:pStyle w:val="ListParagraph"/>
        <w:numPr>
          <w:ilvl w:val="1"/>
          <w:numId w:val="22"/>
        </w:numPr>
        <w:tabs>
          <w:tab w:val="left" w:pos="488"/>
        </w:tabs>
        <w:spacing w:before="86" w:after="0" w:line="240" w:lineRule="auto"/>
        <w:ind w:left="488" w:right="0" w:hanging="193"/>
        <w:jc w:val="left"/>
        <w:rPr>
          <w:sz w:val="18"/>
        </w:rPr>
      </w:pPr>
      <w:r>
        <w:rPr>
          <w:spacing w:val="-2"/>
          <w:sz w:val="16"/>
        </w:rPr>
        <w:t xml:space="preserve">Režim </w:t>
      </w:r>
      <w:r>
        <w:rPr>
          <w:sz w:val="16"/>
        </w:rPr>
        <w:t>rychlosti</w:t>
      </w:r>
      <w:r>
        <w:rPr>
          <w:spacing w:val="-2"/>
          <w:sz w:val="16"/>
        </w:rPr>
        <w:t>:</w:t>
      </w:r>
    </w:p>
    <w:p>
      <w:pPr>
        <w:pStyle w:val="BodyText"/>
        <w:spacing w:before="11"/>
        <w:ind w:left="0"/>
        <w:rPr>
          <w:sz w:val="6"/>
        </w:rPr>
      </w:pPr>
      <w:r>
        <w:rPr>
          <w:sz w:val="6"/>
        </w:rPr>
        <w:drawing>
          <wp:anchor distT="0" distB="0" distL="0" distR="0" simplePos="0" relativeHeight="251692032" behindDoc="1" locked="0" layoutInCell="1" allowOverlap="1">
            <wp:simplePos x="0" y="0"/>
            <wp:positionH relativeFrom="page">
              <wp:posOffset>830580</wp:posOffset>
            </wp:positionH>
            <wp:positionV relativeFrom="paragraph">
              <wp:posOffset>66295</wp:posOffset>
            </wp:positionV>
            <wp:extent cx="1826984" cy="1386839"/>
            <wp:effectExtent l="0" t="0" r="0" b="0"/>
            <wp:wrapTopAndBottom/>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xmlns:r="http://schemas.openxmlformats.org/officeDocument/2006/relationships" r:embed="rId49" cstate="print"/>
                    <a:stretch>
                      <a:fillRect/>
                    </a:stretch>
                  </pic:blipFill>
                  <pic:spPr>
                    <a:xfrm>
                      <a:off x="0" y="0"/>
                      <a:ext cx="1826984" cy="1386839"/>
                    </a:xfrm>
                    <a:prstGeom prst="rect">
                      <a:avLst/>
                    </a:prstGeom>
                  </pic:spPr>
                </pic:pic>
              </a:graphicData>
            </a:graphic>
          </wp:anchor>
        </w:drawing>
      </w:r>
      <w:r>
        <w:rPr>
          <w:sz w:val="6"/>
        </w:rPr>
        <w:drawing>
          <wp:anchor distT="0" distB="0" distL="0" distR="0" simplePos="0" relativeHeight="251693056" behindDoc="1" locked="0" layoutInCell="1" allowOverlap="1">
            <wp:simplePos x="0" y="0"/>
            <wp:positionH relativeFrom="page">
              <wp:posOffset>2689860</wp:posOffset>
            </wp:positionH>
            <wp:positionV relativeFrom="paragraph">
              <wp:posOffset>66295</wp:posOffset>
            </wp:positionV>
            <wp:extent cx="1792365" cy="1358264"/>
            <wp:effectExtent l="0" t="0" r="0" b="0"/>
            <wp:wrapTopAndBottom/>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xmlns:r="http://schemas.openxmlformats.org/officeDocument/2006/relationships" r:embed="rId56" cstate="print"/>
                    <a:stretch>
                      <a:fillRect/>
                    </a:stretch>
                  </pic:blipFill>
                  <pic:spPr>
                    <a:xfrm>
                      <a:off x="0" y="0"/>
                      <a:ext cx="1792365" cy="1358264"/>
                    </a:xfrm>
                    <a:prstGeom prst="rect">
                      <a:avLst/>
                    </a:prstGeom>
                  </pic:spPr>
                </pic:pic>
              </a:graphicData>
            </a:graphic>
          </wp:anchor>
        </w:drawing>
      </w:r>
    </w:p>
    <w:p>
      <w:pPr>
        <w:pStyle w:val="BodyText"/>
        <w:spacing w:before="142" w:line="266" w:lineRule="auto"/>
        <w:ind w:right="293"/>
        <w:jc w:val="both"/>
      </w:pPr>
      <w:r>
        <w:rPr>
          <w:sz w:val="16"/>
        </w:rPr>
        <w:t xml:space="preserve">Rychlost: Stiskněte číselnou klávesu 1 </w:t>
      </w:r>
      <w:r>
        <w:rPr>
          <w:sz w:val="16"/>
        </w:rPr>
        <w:t xml:space="preserve">pro výběr rychlosti, zadejte </w:t>
      </w:r>
      <w:r>
        <w:rPr>
          <w:sz w:val="16"/>
        </w:rPr>
        <w:t xml:space="preserve">hodnotu rychlosti, stiskněte klávesu OK pro </w:t>
      </w:r>
      <w:r>
        <w:rPr>
          <w:sz w:val="16"/>
        </w:rPr>
        <w:t>uložení hodnoty a ukončení. Pokud je zadaná hodnota nesprávná, stiskněte klávesu ALARM RESET/CLEAR a zadejte hodnotu znovu.</w:t>
      </w:r>
    </w:p>
    <w:p>
      <w:pPr>
        <w:pStyle w:val="BodyText"/>
        <w:spacing w:before="160" w:line="268" w:lineRule="auto"/>
        <w:ind w:right="293"/>
        <w:jc w:val="both"/>
      </w:pPr>
      <w:r>
        <w:rPr>
          <w:sz w:val="16"/>
        </w:rPr>
        <w:t>VTBI: Stiskněte číselnou klávesu 2 pro výběr VTBI, zadejte hodnotu, stiskněte klávesu OK pro uložení hodnoty a ukončení. Pokud je zadaná hodnota nesprávná, stiskněte klávesu ALARM RESET/CLEAR a zadejte hodnotu znovu.</w:t>
      </w:r>
    </w:p>
    <w:p>
      <w:pPr>
        <w:pStyle w:val="BodyText"/>
        <w:spacing w:before="155"/>
        <w:jc w:val="both"/>
      </w:pPr>
      <w:r>
        <w:rPr>
          <w:sz w:val="16"/>
        </w:rPr>
        <w:t xml:space="preserve">Stisknutím </w:t>
      </w:r>
      <w:r>
        <w:rPr>
          <w:sz w:val="16"/>
        </w:rPr>
        <w:t>tlačítka</w:t>
      </w:r>
      <w:r>
        <w:drawing>
          <wp:inline distT="0" distB="0" distL="0" distR="0">
            <wp:extent cx="164592" cy="108203"/>
            <wp:effectExtent l="0" t="0" r="0" b="0"/>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xmlns:r="http://schemas.openxmlformats.org/officeDocument/2006/relationships" r:embed="rId57" cstate="print"/>
                    <a:stretch>
                      <a:fillRect/>
                    </a:stretch>
                  </pic:blipFill>
                  <pic:spPr>
                    <a:xfrm>
                      <a:off x="0" y="0"/>
                      <a:ext cx="164592" cy="108203"/>
                    </a:xfrm>
                    <a:prstGeom prst="rect">
                      <a:avLst/>
                    </a:prstGeom>
                  </pic:spPr>
                </pic:pic>
              </a:graphicData>
            </a:graphic>
          </wp:inline>
        </w:drawing>
      </w:r>
      <w:r>
        <w:rPr>
          <w:sz w:val="16"/>
        </w:rPr>
        <w:t xml:space="preserve"> se vraťte </w:t>
      </w:r>
      <w:r>
        <w:rPr>
          <w:sz w:val="16"/>
        </w:rPr>
        <w:t xml:space="preserve">do </w:t>
      </w:r>
      <w:r>
        <w:rPr>
          <w:sz w:val="16"/>
        </w:rPr>
        <w:t xml:space="preserve">hlavního menu </w:t>
      </w:r>
      <w:r>
        <w:rPr>
          <w:sz w:val="16"/>
        </w:rPr>
        <w:t xml:space="preserve">a vyberte </w:t>
      </w:r>
      <w:r>
        <w:rPr>
          <w:sz w:val="16"/>
        </w:rPr>
        <w:t xml:space="preserve">jiný </w:t>
      </w:r>
      <w:r>
        <w:rPr>
          <w:spacing w:val="-4"/>
          <w:sz w:val="16"/>
        </w:rPr>
        <w:t xml:space="preserve">režim </w:t>
      </w:r>
      <w:r>
        <w:rPr>
          <w:sz w:val="16"/>
        </w:rPr>
        <w:t>infuze</w:t>
      </w:r>
      <w:r>
        <w:rPr>
          <w:spacing w:val="-4"/>
          <w:sz w:val="16"/>
        </w:rPr>
        <w:t>.</w:t>
      </w:r>
    </w:p>
    <w:p>
      <w:pPr>
        <w:pStyle w:val="BodyText"/>
        <w:spacing w:after="0"/>
        <w:jc w:val="both"/>
        <w:sectPr>
          <w:pgSz w:w="8390" w:h="11910"/>
          <w:pgMar w:top="660" w:right="425" w:bottom="540" w:left="425" w:header="0" w:footer="342"/>
          <w:cols w:space="708"/>
        </w:sectPr>
      </w:pPr>
    </w:p>
    <w:p>
      <w:pPr>
        <w:pStyle w:val="BodyText"/>
        <w:spacing w:before="70" w:line="268" w:lineRule="auto"/>
        <w:ind w:right="353"/>
      </w:pPr>
      <w:r>
        <w:rPr>
          <w:sz w:val="16"/>
        </w:rPr>
        <w:t xml:space="preserve">Může </w:t>
      </w:r>
      <w:r>
        <w:rPr>
          <w:sz w:val="16"/>
        </w:rPr>
        <w:t xml:space="preserve">změnit </w:t>
      </w:r>
      <w:r>
        <w:rPr>
          <w:sz w:val="16"/>
        </w:rPr>
        <w:t xml:space="preserve">průtok </w:t>
      </w:r>
      <w:r>
        <w:rPr>
          <w:sz w:val="16"/>
        </w:rPr>
        <w:t xml:space="preserve">a </w:t>
      </w:r>
      <w:r>
        <w:rPr>
          <w:sz w:val="16"/>
        </w:rPr>
        <w:t xml:space="preserve">VTBI </w:t>
      </w:r>
      <w:r>
        <w:rPr>
          <w:sz w:val="16"/>
        </w:rPr>
        <w:t xml:space="preserve">bez </w:t>
      </w:r>
      <w:r>
        <w:rPr>
          <w:sz w:val="16"/>
        </w:rPr>
        <w:t xml:space="preserve">zastavení </w:t>
      </w:r>
      <w:r>
        <w:rPr>
          <w:sz w:val="16"/>
        </w:rPr>
        <w:t xml:space="preserve">infuze. </w:t>
      </w:r>
      <w:r>
        <w:rPr>
          <w:sz w:val="16"/>
        </w:rPr>
        <w:t xml:space="preserve">Během </w:t>
      </w:r>
      <w:r>
        <w:rPr>
          <w:sz w:val="16"/>
        </w:rPr>
        <w:t xml:space="preserve">infuze </w:t>
      </w:r>
      <w:r>
        <w:rPr>
          <w:sz w:val="16"/>
        </w:rPr>
        <w:t xml:space="preserve">stiskněte </w:t>
      </w:r>
      <w:r>
        <w:rPr>
          <w:sz w:val="16"/>
        </w:rPr>
        <w:t xml:space="preserve">tlačítko </w:t>
      </w:r>
      <w:r>
        <w:rPr>
          <w:sz w:val="16"/>
        </w:rPr>
        <w:t>OK</w:t>
      </w:r>
      <w:r>
        <w:rPr>
          <w:sz w:val="16"/>
        </w:rPr>
        <w:t>, stiskněte číselné tlačítko 1 pro výběr rychlosti, změňte hodnotu rychlosti, stiskněte tlačítko Enter pro uložení hodnoty. Stiskněte číselné tlačítko 2 pro výběr VTBI, změňte hodnotu, stiskněte tlačítko Enter pro uložení hodnoty. Stiskněte tlačítko START/STOP, zařízení bude pracovat podle nových parametrů.</w:t>
      </w:r>
    </w:p>
    <w:p>
      <w:pPr>
        <w:pStyle w:val="BodyText"/>
        <w:spacing w:line="268" w:lineRule="auto"/>
        <w:ind w:right="353"/>
      </w:pPr>
      <w:r>
        <w:rPr>
          <w:sz w:val="16"/>
        </w:rPr>
        <w:t xml:space="preserve">Po </w:t>
      </w:r>
      <w:r>
        <w:rPr>
          <w:sz w:val="16"/>
        </w:rPr>
        <w:t xml:space="preserve">dokončení </w:t>
      </w:r>
      <w:r>
        <w:rPr>
          <w:sz w:val="16"/>
        </w:rPr>
        <w:t xml:space="preserve">infuze </w:t>
      </w:r>
      <w:r>
        <w:rPr>
          <w:sz w:val="16"/>
        </w:rPr>
        <w:t xml:space="preserve">stiskněte </w:t>
      </w:r>
      <w:r>
        <w:rPr>
          <w:sz w:val="16"/>
        </w:rPr>
        <w:t xml:space="preserve">tlačítko </w:t>
      </w:r>
      <w:r>
        <w:rPr>
          <w:sz w:val="16"/>
        </w:rPr>
        <w:t>START/STOP</w:t>
      </w:r>
      <w:r>
        <w:rPr>
          <w:sz w:val="16"/>
        </w:rPr>
        <w:t xml:space="preserve">, </w:t>
      </w:r>
      <w:r>
        <w:rPr>
          <w:sz w:val="16"/>
        </w:rPr>
        <w:t xml:space="preserve">aby </w:t>
      </w:r>
      <w:r>
        <w:rPr>
          <w:sz w:val="16"/>
        </w:rPr>
        <w:t xml:space="preserve">se odstranil </w:t>
      </w:r>
      <w:r>
        <w:rPr>
          <w:sz w:val="16"/>
        </w:rPr>
        <w:t xml:space="preserve">alarm </w:t>
      </w:r>
      <w:r>
        <w:rPr>
          <w:sz w:val="16"/>
        </w:rPr>
        <w:t>„Dokončeno“</w:t>
      </w:r>
      <w:r>
        <w:rPr>
          <w:sz w:val="16"/>
        </w:rPr>
        <w:t xml:space="preserve">, </w:t>
      </w:r>
      <w:r>
        <w:rPr>
          <w:sz w:val="16"/>
        </w:rPr>
        <w:t xml:space="preserve">poté </w:t>
      </w:r>
      <w:r>
        <w:rPr>
          <w:sz w:val="16"/>
        </w:rPr>
        <w:t xml:space="preserve">stiskněte číselnou klávesu 3 pro „Ukončit injekci“ a přístroj se vrátí do </w:t>
      </w:r>
      <w:r>
        <w:rPr>
          <w:spacing w:val="-2"/>
          <w:sz w:val="16"/>
        </w:rPr>
        <w:t>rozhraní</w:t>
      </w:r>
      <w:r>
        <w:rPr>
          <w:sz w:val="16"/>
        </w:rPr>
        <w:t xml:space="preserve"> pro nastavení parametrů režimu rychlosti</w:t>
      </w:r>
      <w:r>
        <w:rPr>
          <w:spacing w:val="-2"/>
          <w:sz w:val="16"/>
        </w:rPr>
        <w:t>.</w:t>
      </w:r>
    </w:p>
    <w:p>
      <w:pPr>
        <w:pStyle w:val="BodyText"/>
        <w:spacing w:line="268" w:lineRule="auto"/>
        <w:ind w:right="353"/>
      </w:pPr>
      <w:r>
        <w:rPr>
          <w:sz w:val="16"/>
        </w:rPr>
        <w:t xml:space="preserve">Po </w:t>
      </w:r>
      <w:r>
        <w:rPr>
          <w:sz w:val="16"/>
        </w:rPr>
        <w:t xml:space="preserve">dokončení </w:t>
      </w:r>
      <w:r>
        <w:rPr>
          <w:sz w:val="16"/>
        </w:rPr>
        <w:t xml:space="preserve">infuze </w:t>
      </w:r>
      <w:r>
        <w:rPr>
          <w:sz w:val="16"/>
        </w:rPr>
        <w:t xml:space="preserve">stiskněte </w:t>
      </w:r>
      <w:r>
        <w:rPr>
          <w:sz w:val="16"/>
        </w:rPr>
        <w:t xml:space="preserve">tlačítko </w:t>
      </w:r>
      <w:r>
        <w:rPr>
          <w:sz w:val="16"/>
        </w:rPr>
        <w:t>START/STOP</w:t>
      </w:r>
      <w:r>
        <w:rPr>
          <w:sz w:val="16"/>
        </w:rPr>
        <w:t xml:space="preserve">, </w:t>
      </w:r>
      <w:r>
        <w:rPr>
          <w:sz w:val="16"/>
        </w:rPr>
        <w:t xml:space="preserve">aby </w:t>
      </w:r>
      <w:r>
        <w:rPr>
          <w:sz w:val="16"/>
        </w:rPr>
        <w:t xml:space="preserve">se odstranil </w:t>
      </w:r>
      <w:r>
        <w:rPr>
          <w:sz w:val="16"/>
        </w:rPr>
        <w:t xml:space="preserve">alarm </w:t>
      </w:r>
      <w:r>
        <w:rPr>
          <w:sz w:val="16"/>
        </w:rPr>
        <w:t>„Dokončeno“</w:t>
      </w:r>
      <w:r>
        <w:rPr>
          <w:sz w:val="16"/>
        </w:rPr>
        <w:t xml:space="preserve">, </w:t>
      </w:r>
      <w:r>
        <w:rPr>
          <w:sz w:val="16"/>
        </w:rPr>
        <w:t>poté stiskněte číselnou klávesu 3 pro „Ukončit injekci“ a přístroj se vrátí do rozhraní pro nastavení parametrů režimu rychlosti.</w:t>
      </w:r>
    </w:p>
    <w:p>
      <w:pPr>
        <w:pStyle w:val="BodyText"/>
        <w:spacing w:before="26"/>
        <w:ind w:left="0"/>
      </w:pPr>
    </w:p>
    <w:p>
      <w:pPr>
        <w:pStyle w:val="ListParagraph"/>
        <w:numPr>
          <w:ilvl w:val="1"/>
          <w:numId w:val="22"/>
        </w:numPr>
        <w:tabs>
          <w:tab w:val="left" w:pos="485"/>
        </w:tabs>
        <w:spacing w:before="0" w:after="0" w:line="240" w:lineRule="auto"/>
        <w:ind w:left="485" w:right="0" w:hanging="190"/>
        <w:jc w:val="left"/>
        <w:rPr>
          <w:sz w:val="18"/>
        </w:rPr>
      </w:pPr>
      <w:r>
        <w:rPr>
          <w:spacing w:val="-2"/>
          <w:sz w:val="16"/>
        </w:rPr>
        <w:t xml:space="preserve">Režim </w:t>
      </w:r>
      <w:r>
        <w:rPr>
          <w:sz w:val="16"/>
        </w:rPr>
        <w:t>času</w:t>
      </w:r>
      <w:r>
        <w:rPr>
          <w:spacing w:val="-2"/>
          <w:sz w:val="16"/>
        </w:rPr>
        <w:t>:</w:t>
      </w:r>
    </w:p>
    <w:p>
      <w:pPr>
        <w:pStyle w:val="BodyText"/>
        <w:spacing w:before="2"/>
        <w:ind w:left="0"/>
        <w:rPr>
          <w:sz w:val="6"/>
        </w:rPr>
      </w:pPr>
      <w:r>
        <w:rPr>
          <w:sz w:val="6"/>
        </w:rPr>
        <w:drawing>
          <wp:anchor distT="0" distB="0" distL="0" distR="0" simplePos="0" relativeHeight="251694080" behindDoc="1" locked="0" layoutInCell="1" allowOverlap="1">
            <wp:simplePos x="0" y="0"/>
            <wp:positionH relativeFrom="page">
              <wp:posOffset>824483</wp:posOffset>
            </wp:positionH>
            <wp:positionV relativeFrom="paragraph">
              <wp:posOffset>60472</wp:posOffset>
            </wp:positionV>
            <wp:extent cx="1838234" cy="1389506"/>
            <wp:effectExtent l="0" t="0" r="0" b="0"/>
            <wp:wrapTopAndBottom/>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xmlns:r="http://schemas.openxmlformats.org/officeDocument/2006/relationships" r:embed="rId58" cstate="print"/>
                    <a:stretch>
                      <a:fillRect/>
                    </a:stretch>
                  </pic:blipFill>
                  <pic:spPr>
                    <a:xfrm>
                      <a:off x="0" y="0"/>
                      <a:ext cx="1838234" cy="1389506"/>
                    </a:xfrm>
                    <a:prstGeom prst="rect">
                      <a:avLst/>
                    </a:prstGeom>
                  </pic:spPr>
                </pic:pic>
              </a:graphicData>
            </a:graphic>
          </wp:anchor>
        </w:drawing>
      </w:r>
      <w:r>
        <w:rPr>
          <w:sz w:val="6"/>
        </w:rPr>
        <w:drawing>
          <wp:anchor distT="0" distB="0" distL="0" distR="0" simplePos="0" relativeHeight="251695104" behindDoc="1" locked="0" layoutInCell="1" allowOverlap="1">
            <wp:simplePos x="0" y="0"/>
            <wp:positionH relativeFrom="page">
              <wp:posOffset>2692907</wp:posOffset>
            </wp:positionH>
            <wp:positionV relativeFrom="paragraph">
              <wp:posOffset>60472</wp:posOffset>
            </wp:positionV>
            <wp:extent cx="1834705" cy="1386839"/>
            <wp:effectExtent l="0" t="0" r="0" b="0"/>
            <wp:wrapTopAndBottom/>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xmlns:r="http://schemas.openxmlformats.org/officeDocument/2006/relationships" r:embed="rId59" cstate="print"/>
                    <a:stretch>
                      <a:fillRect/>
                    </a:stretch>
                  </pic:blipFill>
                  <pic:spPr>
                    <a:xfrm>
                      <a:off x="0" y="0"/>
                      <a:ext cx="1834705" cy="1386839"/>
                    </a:xfrm>
                    <a:prstGeom prst="rect">
                      <a:avLst/>
                    </a:prstGeom>
                  </pic:spPr>
                </pic:pic>
              </a:graphicData>
            </a:graphic>
          </wp:anchor>
        </w:drawing>
      </w:r>
    </w:p>
    <w:p>
      <w:pPr>
        <w:pStyle w:val="BodyText"/>
        <w:spacing w:before="145" w:line="278" w:lineRule="auto"/>
        <w:ind w:right="353"/>
      </w:pPr>
      <w:r>
        <w:rPr>
          <w:sz w:val="16"/>
        </w:rPr>
        <w:t xml:space="preserve">Stiskněte </w:t>
      </w:r>
      <w:r>
        <w:rPr>
          <w:sz w:val="16"/>
        </w:rPr>
        <w:t xml:space="preserve">číselnou </w:t>
      </w:r>
      <w:r>
        <w:rPr>
          <w:sz w:val="16"/>
        </w:rPr>
        <w:t>klávesu</w:t>
      </w:r>
      <w:r>
        <w:rPr>
          <w:sz w:val="16"/>
        </w:rPr>
        <w:t xml:space="preserve"> 2 </w:t>
      </w:r>
      <w:r>
        <w:rPr>
          <w:sz w:val="16"/>
        </w:rPr>
        <w:t xml:space="preserve">pro </w:t>
      </w:r>
      <w:r>
        <w:rPr>
          <w:sz w:val="16"/>
        </w:rPr>
        <w:t xml:space="preserve">vstup </w:t>
      </w:r>
      <w:r>
        <w:rPr>
          <w:sz w:val="16"/>
        </w:rPr>
        <w:t xml:space="preserve">do </w:t>
      </w:r>
      <w:r>
        <w:rPr>
          <w:sz w:val="16"/>
        </w:rPr>
        <w:t xml:space="preserve">časového </w:t>
      </w:r>
      <w:r>
        <w:rPr>
          <w:sz w:val="16"/>
        </w:rPr>
        <w:t xml:space="preserve">režimu. </w:t>
      </w:r>
      <w:r>
        <w:rPr>
          <w:sz w:val="16"/>
        </w:rPr>
        <w:t xml:space="preserve">Zadejte </w:t>
      </w:r>
      <w:r>
        <w:rPr>
          <w:sz w:val="16"/>
        </w:rPr>
        <w:t xml:space="preserve">VTBI </w:t>
      </w:r>
      <w:r>
        <w:rPr>
          <w:sz w:val="16"/>
        </w:rPr>
        <w:t xml:space="preserve">a </w:t>
      </w:r>
      <w:r>
        <w:rPr>
          <w:sz w:val="16"/>
        </w:rPr>
        <w:t xml:space="preserve">čas </w:t>
      </w:r>
      <w:r>
        <w:rPr>
          <w:sz w:val="16"/>
        </w:rPr>
        <w:t xml:space="preserve">pomocí </w:t>
      </w:r>
      <w:r>
        <w:rPr>
          <w:sz w:val="16"/>
        </w:rPr>
        <w:t xml:space="preserve">číselných </w:t>
      </w:r>
      <w:r>
        <w:rPr>
          <w:sz w:val="16"/>
        </w:rPr>
        <w:t xml:space="preserve">kláves a </w:t>
      </w:r>
      <w:r>
        <w:rPr>
          <w:sz w:val="16"/>
        </w:rPr>
        <w:t xml:space="preserve">stiskněte </w:t>
      </w:r>
      <w:r>
        <w:rPr>
          <w:sz w:val="16"/>
        </w:rPr>
        <w:t xml:space="preserve">klávesu </w:t>
      </w:r>
      <w:r>
        <w:rPr>
          <w:sz w:val="16"/>
        </w:rPr>
        <w:t xml:space="preserve">OK </w:t>
      </w:r>
      <w:r>
        <w:rPr>
          <w:sz w:val="16"/>
        </w:rPr>
        <w:t>pro uložení hodnoty. Po nastavení VTBI a času se průtok vypočítá automaticky.</w:t>
      </w:r>
    </w:p>
    <w:p>
      <w:pPr>
        <w:pStyle w:val="BodyText"/>
        <w:spacing w:before="42"/>
        <w:ind w:left="0"/>
      </w:pPr>
    </w:p>
    <w:p>
      <w:pPr>
        <w:pStyle w:val="ListParagraph"/>
        <w:numPr>
          <w:ilvl w:val="1"/>
          <w:numId w:val="22"/>
        </w:numPr>
        <w:tabs>
          <w:tab w:val="left" w:pos="485"/>
        </w:tabs>
        <w:spacing w:before="1" w:after="0" w:line="240" w:lineRule="auto"/>
        <w:ind w:left="485" w:right="0" w:hanging="190"/>
        <w:jc w:val="left"/>
        <w:rPr>
          <w:sz w:val="18"/>
        </w:rPr>
      </w:pPr>
      <w:r>
        <w:rPr>
          <w:spacing w:val="-2"/>
          <w:sz w:val="16"/>
        </w:rPr>
        <w:t xml:space="preserve">Režim </w:t>
      </w:r>
      <w:r>
        <w:rPr>
          <w:spacing w:val="-2"/>
          <w:sz w:val="16"/>
        </w:rPr>
        <w:t>hmotnosti</w:t>
      </w:r>
      <w:r>
        <w:rPr>
          <w:spacing w:val="-2"/>
          <w:sz w:val="16"/>
        </w:rPr>
        <w:t>:</w:t>
      </w:r>
    </w:p>
    <w:p>
      <w:pPr>
        <w:pStyle w:val="BodyText"/>
        <w:spacing w:before="11"/>
        <w:ind w:left="0"/>
        <w:rPr>
          <w:sz w:val="6"/>
        </w:rPr>
      </w:pPr>
      <w:r>
        <w:rPr>
          <w:sz w:val="6"/>
        </w:rPr>
        <w:drawing>
          <wp:anchor distT="0" distB="0" distL="0" distR="0" simplePos="0" relativeHeight="251696128" behindDoc="1" locked="0" layoutInCell="1" allowOverlap="1">
            <wp:simplePos x="0" y="0"/>
            <wp:positionH relativeFrom="page">
              <wp:posOffset>827532</wp:posOffset>
            </wp:positionH>
            <wp:positionV relativeFrom="paragraph">
              <wp:posOffset>66062</wp:posOffset>
            </wp:positionV>
            <wp:extent cx="1835139" cy="1389507"/>
            <wp:effectExtent l="0" t="0" r="0" b="0"/>
            <wp:wrapTopAndBottom/>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xmlns:r="http://schemas.openxmlformats.org/officeDocument/2006/relationships" r:embed="rId60" cstate="print"/>
                    <a:stretch>
                      <a:fillRect/>
                    </a:stretch>
                  </pic:blipFill>
                  <pic:spPr>
                    <a:xfrm>
                      <a:off x="0" y="0"/>
                      <a:ext cx="1835139" cy="1389507"/>
                    </a:xfrm>
                    <a:prstGeom prst="rect">
                      <a:avLst/>
                    </a:prstGeom>
                  </pic:spPr>
                </pic:pic>
              </a:graphicData>
            </a:graphic>
          </wp:anchor>
        </w:drawing>
      </w:r>
      <w:r>
        <w:rPr>
          <w:sz w:val="6"/>
        </w:rPr>
        <w:drawing>
          <wp:anchor distT="0" distB="0" distL="0" distR="0" simplePos="0" relativeHeight="251697152" behindDoc="1" locked="0" layoutInCell="1" allowOverlap="1">
            <wp:simplePos x="0" y="0"/>
            <wp:positionH relativeFrom="page">
              <wp:posOffset>2691383</wp:posOffset>
            </wp:positionH>
            <wp:positionV relativeFrom="paragraph">
              <wp:posOffset>66062</wp:posOffset>
            </wp:positionV>
            <wp:extent cx="1791487" cy="1355312"/>
            <wp:effectExtent l="0" t="0" r="0" b="0"/>
            <wp:wrapTopAndBottom/>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xmlns:r="http://schemas.openxmlformats.org/officeDocument/2006/relationships" r:embed="rId61" cstate="print"/>
                    <a:stretch>
                      <a:fillRect/>
                    </a:stretch>
                  </pic:blipFill>
                  <pic:spPr>
                    <a:xfrm>
                      <a:off x="0" y="0"/>
                      <a:ext cx="1791487" cy="1355312"/>
                    </a:xfrm>
                    <a:prstGeom prst="rect">
                      <a:avLst/>
                    </a:prstGeom>
                  </pic:spPr>
                </pic:pic>
              </a:graphicData>
            </a:graphic>
          </wp:anchor>
        </w:drawing>
      </w:r>
    </w:p>
    <w:p>
      <w:pPr>
        <w:pStyle w:val="BodyText"/>
        <w:spacing w:before="145" w:line="278" w:lineRule="auto"/>
        <w:ind w:right="353"/>
      </w:pPr>
      <w:r>
        <w:rPr>
          <w:sz w:val="16"/>
        </w:rPr>
        <w:t xml:space="preserve">Stiskněte </w:t>
      </w:r>
      <w:r>
        <w:rPr>
          <w:sz w:val="16"/>
        </w:rPr>
        <w:t xml:space="preserve">číselnou </w:t>
      </w:r>
      <w:r>
        <w:rPr>
          <w:sz w:val="16"/>
        </w:rPr>
        <w:t>klávesu</w:t>
      </w:r>
      <w:r>
        <w:rPr>
          <w:sz w:val="16"/>
        </w:rPr>
        <w:t xml:space="preserve"> 3 </w:t>
      </w:r>
      <w:r>
        <w:rPr>
          <w:sz w:val="16"/>
        </w:rPr>
        <w:t xml:space="preserve">pro </w:t>
      </w:r>
      <w:r>
        <w:rPr>
          <w:sz w:val="16"/>
        </w:rPr>
        <w:t xml:space="preserve">vstup </w:t>
      </w:r>
      <w:r>
        <w:rPr>
          <w:sz w:val="16"/>
        </w:rPr>
        <w:t xml:space="preserve">do režimu </w:t>
      </w:r>
      <w:r>
        <w:rPr>
          <w:sz w:val="16"/>
        </w:rPr>
        <w:t xml:space="preserve">tělesné </w:t>
      </w:r>
      <w:r>
        <w:rPr>
          <w:sz w:val="16"/>
        </w:rPr>
        <w:t>hmotnosti</w:t>
      </w:r>
      <w:r>
        <w:rPr>
          <w:sz w:val="16"/>
        </w:rPr>
        <w:t xml:space="preserve">. </w:t>
      </w:r>
      <w:r>
        <w:rPr>
          <w:sz w:val="16"/>
        </w:rPr>
        <w:t xml:space="preserve">Zadejte </w:t>
      </w:r>
      <w:r>
        <w:rPr>
          <w:sz w:val="16"/>
        </w:rPr>
        <w:t xml:space="preserve">hmotnost, </w:t>
      </w:r>
      <w:r>
        <w:rPr>
          <w:sz w:val="16"/>
        </w:rPr>
        <w:t xml:space="preserve">lék </w:t>
      </w:r>
      <w:r>
        <w:rPr>
          <w:sz w:val="16"/>
        </w:rPr>
        <w:t xml:space="preserve">A </w:t>
      </w:r>
      <w:r>
        <w:rPr>
          <w:sz w:val="16"/>
        </w:rPr>
        <w:t>(</w:t>
      </w:r>
      <w:r>
        <w:rPr>
          <w:sz w:val="16"/>
        </w:rPr>
        <w:t xml:space="preserve">množství </w:t>
      </w:r>
      <w:r>
        <w:rPr>
          <w:sz w:val="16"/>
        </w:rPr>
        <w:t>léku</w:t>
      </w:r>
      <w:r>
        <w:rPr>
          <w:sz w:val="16"/>
        </w:rPr>
        <w:t xml:space="preserve">), </w:t>
      </w:r>
      <w:r>
        <w:rPr>
          <w:sz w:val="16"/>
        </w:rPr>
        <w:t xml:space="preserve">lék </w:t>
      </w:r>
      <w:r>
        <w:rPr>
          <w:sz w:val="16"/>
        </w:rPr>
        <w:t>V (objem léku), dávkovou rychlost a VTBI pomocí číselných kláves. Po nastavení parametrů se průtok vypočítá automaticky.</w:t>
      </w:r>
    </w:p>
    <w:p>
      <w:pPr>
        <w:pStyle w:val="BodyText"/>
        <w:spacing w:line="278" w:lineRule="auto"/>
        <w:ind w:right="308"/>
      </w:pPr>
      <w:r>
        <w:rPr>
          <w:sz w:val="16"/>
        </w:rPr>
        <w:t>Dávku lze změnit bez zastavení infuze. Během infuze stiskněte tlačítko OK, změňte hodnotu dávky a stiskněte tlačítko OK pro uložení hodnoty. Zařízení bude pracovat podle nových parametrů.</w:t>
      </w:r>
    </w:p>
    <w:p>
      <w:pPr>
        <w:pStyle w:val="BodyText"/>
        <w:spacing w:after="0" w:line="278" w:lineRule="auto"/>
        <w:sectPr>
          <w:pgSz w:w="8390" w:h="11910"/>
          <w:pgMar w:top="660" w:right="425" w:bottom="540" w:left="425" w:header="0" w:footer="342"/>
          <w:cols w:space="708"/>
        </w:sectPr>
      </w:pPr>
    </w:p>
    <w:p>
      <w:pPr>
        <w:pStyle w:val="ListParagraph"/>
        <w:numPr>
          <w:ilvl w:val="1"/>
          <w:numId w:val="22"/>
        </w:numPr>
        <w:tabs>
          <w:tab w:val="left" w:pos="488"/>
        </w:tabs>
        <w:spacing w:before="78" w:after="0" w:line="240" w:lineRule="auto"/>
        <w:ind w:left="488" w:right="0" w:hanging="193"/>
        <w:jc w:val="left"/>
        <w:rPr>
          <w:sz w:val="18"/>
        </w:rPr>
      </w:pPr>
      <w:r>
        <w:rPr>
          <w:sz w:val="16"/>
        </w:rPr>
        <w:t xml:space="preserve">Intermitentní </w:t>
      </w:r>
      <w:r>
        <w:rPr>
          <w:spacing w:val="-2"/>
          <w:sz w:val="16"/>
        </w:rPr>
        <w:t>režim:</w:t>
      </w:r>
    </w:p>
    <w:p>
      <w:pPr>
        <w:pStyle w:val="BodyText"/>
        <w:spacing w:before="8"/>
        <w:ind w:left="0"/>
        <w:rPr>
          <w:sz w:val="6"/>
        </w:rPr>
      </w:pPr>
      <w:r>
        <w:rPr>
          <w:sz w:val="6"/>
        </w:rPr>
        <w:drawing>
          <wp:anchor distT="0" distB="0" distL="0" distR="0" simplePos="0" relativeHeight="251698176" behindDoc="1" locked="0" layoutInCell="1" allowOverlap="1">
            <wp:simplePos x="0" y="0"/>
            <wp:positionH relativeFrom="page">
              <wp:posOffset>822960</wp:posOffset>
            </wp:positionH>
            <wp:positionV relativeFrom="paragraph">
              <wp:posOffset>64527</wp:posOffset>
            </wp:positionV>
            <wp:extent cx="1839781" cy="1389506"/>
            <wp:effectExtent l="0" t="0" r="0" b="0"/>
            <wp:wrapTopAndBottom/>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xmlns:r="http://schemas.openxmlformats.org/officeDocument/2006/relationships" r:embed="rId62" cstate="print"/>
                    <a:stretch>
                      <a:fillRect/>
                    </a:stretch>
                  </pic:blipFill>
                  <pic:spPr>
                    <a:xfrm>
                      <a:off x="0" y="0"/>
                      <a:ext cx="1839781" cy="1389506"/>
                    </a:xfrm>
                    <a:prstGeom prst="rect">
                      <a:avLst/>
                    </a:prstGeom>
                  </pic:spPr>
                </pic:pic>
              </a:graphicData>
            </a:graphic>
          </wp:anchor>
        </w:drawing>
      </w:r>
      <w:r>
        <w:rPr>
          <w:sz w:val="6"/>
        </w:rPr>
        <w:drawing>
          <wp:anchor distT="0" distB="0" distL="0" distR="0" simplePos="0" relativeHeight="251699200" behindDoc="1" locked="0" layoutInCell="1" allowOverlap="1">
            <wp:simplePos x="0" y="0"/>
            <wp:positionH relativeFrom="page">
              <wp:posOffset>2692907</wp:posOffset>
            </wp:positionH>
            <wp:positionV relativeFrom="paragraph">
              <wp:posOffset>64527</wp:posOffset>
            </wp:positionV>
            <wp:extent cx="1802325" cy="1361217"/>
            <wp:effectExtent l="0" t="0" r="0" b="0"/>
            <wp:wrapTopAndBottom/>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xmlns:r="http://schemas.openxmlformats.org/officeDocument/2006/relationships" r:embed="rId63" cstate="print"/>
                    <a:stretch>
                      <a:fillRect/>
                    </a:stretch>
                  </pic:blipFill>
                  <pic:spPr>
                    <a:xfrm>
                      <a:off x="0" y="0"/>
                      <a:ext cx="1802325" cy="1361217"/>
                    </a:xfrm>
                    <a:prstGeom prst="rect">
                      <a:avLst/>
                    </a:prstGeom>
                  </pic:spPr>
                </pic:pic>
              </a:graphicData>
            </a:graphic>
          </wp:anchor>
        </w:drawing>
      </w:r>
    </w:p>
    <w:p>
      <w:pPr>
        <w:pStyle w:val="BodyText"/>
        <w:spacing w:before="145"/>
      </w:pPr>
      <w:r>
        <w:rPr>
          <w:sz w:val="16"/>
        </w:rPr>
        <w:t xml:space="preserve">Stisknutím </w:t>
      </w:r>
      <w:r>
        <w:rPr>
          <w:sz w:val="16"/>
        </w:rPr>
        <w:t xml:space="preserve">číslicové </w:t>
      </w:r>
      <w:r>
        <w:rPr>
          <w:sz w:val="16"/>
        </w:rPr>
        <w:t>klávesy</w:t>
      </w:r>
      <w:r>
        <w:rPr>
          <w:sz w:val="16"/>
        </w:rPr>
        <w:t xml:space="preserve"> 4 </w:t>
      </w:r>
      <w:r>
        <w:rPr>
          <w:sz w:val="16"/>
        </w:rPr>
        <w:t xml:space="preserve">přejděte do </w:t>
      </w:r>
      <w:r>
        <w:rPr>
          <w:spacing w:val="-4"/>
          <w:sz w:val="16"/>
        </w:rPr>
        <w:t>režimu</w:t>
      </w:r>
      <w:r>
        <w:rPr>
          <w:sz w:val="16"/>
        </w:rPr>
        <w:t xml:space="preserve"> Intermittent</w:t>
      </w:r>
      <w:r>
        <w:rPr>
          <w:spacing w:val="-4"/>
          <w:sz w:val="16"/>
        </w:rPr>
        <w:t>.</w:t>
      </w:r>
    </w:p>
    <w:p>
      <w:pPr>
        <w:pStyle w:val="BodyText"/>
        <w:spacing w:before="189"/>
      </w:pPr>
      <w:r>
        <w:rPr>
          <w:sz w:val="16"/>
        </w:rPr>
        <w:t xml:space="preserve">V </w:t>
      </w:r>
      <w:r>
        <w:rPr>
          <w:sz w:val="16"/>
        </w:rPr>
        <w:t xml:space="preserve">intermitentním režimu </w:t>
      </w:r>
      <w:r>
        <w:rPr>
          <w:sz w:val="16"/>
        </w:rPr>
        <w:t xml:space="preserve">bude </w:t>
      </w:r>
      <w:r>
        <w:rPr>
          <w:sz w:val="16"/>
        </w:rPr>
        <w:t xml:space="preserve">infuze </w:t>
      </w:r>
      <w:r>
        <w:rPr>
          <w:sz w:val="16"/>
        </w:rPr>
        <w:t xml:space="preserve">pozastavena </w:t>
      </w:r>
      <w:r>
        <w:rPr>
          <w:sz w:val="16"/>
        </w:rPr>
        <w:t xml:space="preserve">na </w:t>
      </w:r>
      <w:r>
        <w:rPr>
          <w:spacing w:val="-4"/>
          <w:sz w:val="16"/>
        </w:rPr>
        <w:t>dobu</w:t>
      </w:r>
      <w:r>
        <w:rPr>
          <w:sz w:val="16"/>
        </w:rPr>
        <w:t xml:space="preserve"> intervalu</w:t>
      </w:r>
      <w:r>
        <w:rPr>
          <w:spacing w:val="-4"/>
          <w:sz w:val="16"/>
        </w:rPr>
        <w:t>.</w:t>
      </w:r>
    </w:p>
    <w:p>
      <w:pPr>
        <w:pStyle w:val="BodyText"/>
        <w:spacing w:before="189" w:line="278" w:lineRule="auto"/>
        <w:ind w:right="371"/>
      </w:pPr>
      <w:r>
        <w:rPr>
          <w:sz w:val="16"/>
        </w:rPr>
        <w:t xml:space="preserve">Zadejte </w:t>
      </w:r>
      <w:r>
        <w:rPr>
          <w:sz w:val="16"/>
        </w:rPr>
        <w:t xml:space="preserve">parametry </w:t>
      </w:r>
      <w:r>
        <w:rPr>
          <w:sz w:val="16"/>
        </w:rPr>
        <w:t xml:space="preserve">rychlosti, </w:t>
      </w:r>
      <w:r>
        <w:rPr>
          <w:sz w:val="16"/>
        </w:rPr>
        <w:t xml:space="preserve">VTBI </w:t>
      </w:r>
      <w:r>
        <w:rPr>
          <w:sz w:val="16"/>
        </w:rPr>
        <w:t xml:space="preserve">Per </w:t>
      </w:r>
      <w:r>
        <w:rPr>
          <w:sz w:val="16"/>
        </w:rPr>
        <w:t>(</w:t>
      </w:r>
      <w:r>
        <w:rPr>
          <w:sz w:val="16"/>
        </w:rPr>
        <w:t xml:space="preserve">VTBI </w:t>
      </w:r>
      <w:r>
        <w:rPr>
          <w:sz w:val="16"/>
        </w:rPr>
        <w:t xml:space="preserve">za </w:t>
      </w:r>
      <w:r>
        <w:rPr>
          <w:sz w:val="16"/>
        </w:rPr>
        <w:t xml:space="preserve">čas), </w:t>
      </w:r>
      <w:r>
        <w:rPr>
          <w:sz w:val="16"/>
        </w:rPr>
        <w:t xml:space="preserve">intervalu a </w:t>
      </w:r>
      <w:r>
        <w:rPr>
          <w:sz w:val="16"/>
        </w:rPr>
        <w:t xml:space="preserve">stiskněte </w:t>
      </w:r>
      <w:r>
        <w:rPr>
          <w:sz w:val="16"/>
        </w:rPr>
        <w:t xml:space="preserve">tlačítko </w:t>
      </w:r>
      <w:r>
        <w:rPr>
          <w:sz w:val="16"/>
        </w:rPr>
        <w:t xml:space="preserve">START/STOP </w:t>
      </w:r>
      <w:r>
        <w:rPr>
          <w:sz w:val="16"/>
        </w:rPr>
        <w:t>pro infuzi.</w:t>
      </w:r>
    </w:p>
    <w:p>
      <w:pPr>
        <w:pStyle w:val="BodyText"/>
        <w:spacing w:line="278" w:lineRule="auto"/>
      </w:pPr>
      <w:r>
        <w:rPr>
          <w:sz w:val="16"/>
        </w:rPr>
        <w:t xml:space="preserve">Například </w:t>
      </w:r>
      <w:r>
        <w:rPr>
          <w:sz w:val="16"/>
        </w:rPr>
        <w:t xml:space="preserve">VTBI </w:t>
      </w:r>
      <w:r>
        <w:rPr>
          <w:sz w:val="16"/>
        </w:rPr>
        <w:t>za čas</w:t>
      </w:r>
      <w:r>
        <w:rPr>
          <w:sz w:val="16"/>
        </w:rPr>
        <w:t xml:space="preserve"> </w:t>
      </w:r>
      <w:r>
        <w:rPr>
          <w:sz w:val="16"/>
        </w:rPr>
        <w:t>=</w:t>
      </w:r>
      <w:r>
        <w:rPr>
          <w:sz w:val="16"/>
        </w:rPr>
        <w:t xml:space="preserve"> 30 ml, </w:t>
      </w:r>
      <w:r>
        <w:rPr>
          <w:sz w:val="16"/>
        </w:rPr>
        <w:t xml:space="preserve">interval </w:t>
      </w:r>
      <w:r>
        <w:rPr>
          <w:sz w:val="16"/>
        </w:rPr>
        <w:t>=</w:t>
      </w:r>
      <w:r>
        <w:rPr>
          <w:sz w:val="16"/>
        </w:rPr>
        <w:t xml:space="preserve"> 10 minut, </w:t>
      </w:r>
      <w:r>
        <w:rPr>
          <w:sz w:val="16"/>
        </w:rPr>
        <w:t xml:space="preserve">rychlost = 100 ml/h. </w:t>
      </w:r>
      <w:r>
        <w:rPr>
          <w:sz w:val="16"/>
        </w:rPr>
        <w:t xml:space="preserve">Když </w:t>
      </w:r>
      <w:r>
        <w:rPr>
          <w:sz w:val="16"/>
        </w:rPr>
        <w:t xml:space="preserve">injekční </w:t>
      </w:r>
      <w:r>
        <w:rPr>
          <w:sz w:val="16"/>
        </w:rPr>
        <w:t>pumpa dokončí infuzi 30 ml léku, pozastaví se na 10 minut a poté spustí další 30 ml.</w:t>
      </w:r>
    </w:p>
    <w:p>
      <w:pPr>
        <w:pStyle w:val="BodyText"/>
        <w:spacing w:before="42"/>
        <w:ind w:left="0"/>
      </w:pPr>
    </w:p>
    <w:p>
      <w:pPr>
        <w:pStyle w:val="ListParagraph"/>
        <w:numPr>
          <w:ilvl w:val="1"/>
          <w:numId w:val="22"/>
        </w:numPr>
        <w:tabs>
          <w:tab w:val="left" w:pos="533"/>
        </w:tabs>
        <w:spacing w:before="1" w:after="0" w:line="240" w:lineRule="auto"/>
        <w:ind w:left="533" w:right="0" w:hanging="238"/>
        <w:jc w:val="left"/>
        <w:rPr>
          <w:sz w:val="18"/>
        </w:rPr>
      </w:pPr>
      <w:r>
        <w:rPr>
          <w:spacing w:val="-2"/>
          <w:sz w:val="16"/>
        </w:rPr>
        <w:t xml:space="preserve">Knihovna </w:t>
      </w:r>
      <w:r>
        <w:rPr>
          <w:sz w:val="16"/>
        </w:rPr>
        <w:t>léků</w:t>
      </w:r>
      <w:r>
        <w:rPr>
          <w:spacing w:val="-2"/>
          <w:sz w:val="16"/>
        </w:rPr>
        <w:t>:</w:t>
      </w:r>
    </w:p>
    <w:p>
      <w:pPr>
        <w:pStyle w:val="BodyText"/>
        <w:spacing w:before="10"/>
        <w:ind w:left="0"/>
        <w:rPr>
          <w:sz w:val="6"/>
        </w:rPr>
      </w:pPr>
      <w:r>
        <w:rPr>
          <w:sz w:val="6"/>
        </w:rPr>
        <mc:AlternateContent>
          <mc:Choice Requires="wpg">
            <w:drawing>
              <wp:anchor distT="0" distB="0" distL="0" distR="0" simplePos="0" relativeHeight="251700224" behindDoc="1" locked="0" layoutInCell="1" allowOverlap="1">
                <wp:simplePos x="0" y="0"/>
                <wp:positionH relativeFrom="page">
                  <wp:posOffset>819911</wp:posOffset>
                </wp:positionH>
                <wp:positionV relativeFrom="paragraph">
                  <wp:posOffset>65958</wp:posOffset>
                </wp:positionV>
                <wp:extent cx="1816735" cy="2778760"/>
                <wp:effectExtent l="0" t="0" r="0" b="0"/>
                <wp:wrapTopAndBottom/>
                <wp:docPr id="67"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1816735" cy="2778760"/>
                          <a:chOff x="0" y="0"/>
                          <a:chExt cx="1816735" cy="2778760"/>
                        </a:xfrm>
                      </wpg:grpSpPr>
                      <pic:pic xmlns:pic="http://schemas.openxmlformats.org/drawingml/2006/picture">
                        <pic:nvPicPr>
                          <pic:cNvPr id="68" name="Image 68"/>
                          <pic:cNvPicPr/>
                        </pic:nvPicPr>
                        <pic:blipFill>
                          <a:blip xmlns:r="http://schemas.openxmlformats.org/officeDocument/2006/relationships" r:embed="rId64" cstate="print"/>
                          <a:stretch>
                            <a:fillRect/>
                          </a:stretch>
                        </pic:blipFill>
                        <pic:spPr>
                          <a:xfrm>
                            <a:off x="0" y="0"/>
                            <a:ext cx="1816608" cy="1370076"/>
                          </a:xfrm>
                          <a:prstGeom prst="rect">
                            <a:avLst/>
                          </a:prstGeom>
                        </pic:spPr>
                      </pic:pic>
                      <pic:pic xmlns:pic="http://schemas.openxmlformats.org/drawingml/2006/picture">
                        <pic:nvPicPr>
                          <pic:cNvPr id="69" name="Image 69"/>
                          <pic:cNvPicPr/>
                        </pic:nvPicPr>
                        <pic:blipFill>
                          <a:blip xmlns:r="http://schemas.openxmlformats.org/officeDocument/2006/relationships" r:embed="rId65" cstate="print"/>
                          <a:stretch>
                            <a:fillRect/>
                          </a:stretch>
                        </pic:blipFill>
                        <pic:spPr>
                          <a:xfrm>
                            <a:off x="1523" y="1409700"/>
                            <a:ext cx="1807623" cy="1368552"/>
                          </a:xfrm>
                          <a:prstGeom prst="rect">
                            <a:avLst/>
                          </a:prstGeom>
                        </pic:spPr>
                      </pic:pic>
                    </wpg:wgp>
                  </a:graphicData>
                </a:graphic>
              </wp:anchor>
            </w:drawing>
          </mc:Choice>
          <mc:Fallback>
            <w:pict>
              <v:group id="_x0000_s1027" style="width:143.05pt;height:218.8pt;margin-top:5.19pt;margin-left:64.56pt;mso-position-horizontal-relative:page;mso-wrap-distance-left:0;mso-wrap-distance-right:0;position:absolute;z-index:-251615232" coordorigin="1291,104" coordsize="2861,4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2861;height:2158;left:1291;position:absolute;top:103" stroked="f">
                  <v:imagedata r:id="rId64" o:title=""/>
                </v:shape>
                <v:shape id="_x0000_s1029" type="#_x0000_t75" style="width:2847;height:2156;left:1293;position:absolute;top:2323" stroked="f">
                  <v:imagedata r:id="rId65" o:title=""/>
                </v:shape>
                <w10:wrap type="topAndBottom"/>
              </v:group>
            </w:pict>
          </mc:Fallback>
        </mc:AlternateContent>
      </w:r>
      <w:r>
        <w:rPr>
          <w:sz w:val="6"/>
        </w:rPr>
        <mc:AlternateContent>
          <mc:Choice Requires="wpg">
            <w:drawing>
              <wp:anchor distT="0" distB="0" distL="0" distR="0" simplePos="0" relativeHeight="251702272" behindDoc="1" locked="0" layoutInCell="1" allowOverlap="1">
                <wp:simplePos x="0" y="0"/>
                <wp:positionH relativeFrom="page">
                  <wp:posOffset>2691383</wp:posOffset>
                </wp:positionH>
                <wp:positionV relativeFrom="paragraph">
                  <wp:posOffset>67482</wp:posOffset>
                </wp:positionV>
                <wp:extent cx="1814195" cy="2776855"/>
                <wp:effectExtent l="0" t="0" r="0" b="0"/>
                <wp:wrapTopAndBottom/>
                <wp:docPr id="70" name="Group 70"/>
                <wp:cNvGraphicFramePr/>
                <a:graphic xmlns:a="http://schemas.openxmlformats.org/drawingml/2006/main">
                  <a:graphicData uri="http://schemas.microsoft.com/office/word/2010/wordprocessingGroup">
                    <wpg:wgp xmlns:wpg="http://schemas.microsoft.com/office/word/2010/wordprocessingGroup">
                      <wpg:cNvGrpSpPr/>
                      <wpg:grpSpPr>
                        <a:xfrm>
                          <a:off x="0" y="0"/>
                          <a:ext cx="1814195" cy="2776855"/>
                          <a:chOff x="0" y="0"/>
                          <a:chExt cx="1814195" cy="2776855"/>
                        </a:xfrm>
                      </wpg:grpSpPr>
                      <pic:pic xmlns:pic="http://schemas.openxmlformats.org/drawingml/2006/picture">
                        <pic:nvPicPr>
                          <pic:cNvPr id="71" name="Image 71"/>
                          <pic:cNvPicPr/>
                        </pic:nvPicPr>
                        <pic:blipFill>
                          <a:blip xmlns:r="http://schemas.openxmlformats.org/officeDocument/2006/relationships" r:embed="rId66" cstate="print"/>
                          <a:stretch>
                            <a:fillRect/>
                          </a:stretch>
                        </pic:blipFill>
                        <pic:spPr>
                          <a:xfrm>
                            <a:off x="3047" y="0"/>
                            <a:ext cx="1810586" cy="1368552"/>
                          </a:xfrm>
                          <a:prstGeom prst="rect">
                            <a:avLst/>
                          </a:prstGeom>
                        </pic:spPr>
                      </pic:pic>
                      <pic:pic xmlns:pic="http://schemas.openxmlformats.org/drawingml/2006/picture">
                        <pic:nvPicPr>
                          <pic:cNvPr id="72" name="Image 72"/>
                          <pic:cNvPicPr/>
                        </pic:nvPicPr>
                        <pic:blipFill>
                          <a:blip xmlns:r="http://schemas.openxmlformats.org/officeDocument/2006/relationships" r:embed="rId67" cstate="print"/>
                          <a:stretch>
                            <a:fillRect/>
                          </a:stretch>
                        </pic:blipFill>
                        <pic:spPr>
                          <a:xfrm>
                            <a:off x="0" y="1408175"/>
                            <a:ext cx="1813560" cy="1368552"/>
                          </a:xfrm>
                          <a:prstGeom prst="rect">
                            <a:avLst/>
                          </a:prstGeom>
                        </pic:spPr>
                      </pic:pic>
                    </wpg:wgp>
                  </a:graphicData>
                </a:graphic>
              </wp:anchor>
            </w:drawing>
          </mc:Choice>
          <mc:Fallback>
            <w:pict>
              <v:group id="_x0000_s1030" style="width:142.85pt;height:218.65pt;margin-top:5.31pt;margin-left:211.92pt;mso-position-horizontal-relative:page;mso-wrap-distance-left:0;mso-wrap-distance-right:0;position:absolute;z-index:-251613184" coordorigin="4238,106" coordsize="2857,4373">
                <v:shape id="_x0000_s1031" type="#_x0000_t75" style="width:2852;height:2156;left:4243;position:absolute;top:106" stroked="f">
                  <v:imagedata r:id="rId66" o:title=""/>
                </v:shape>
                <v:shape id="_x0000_s1032" type="#_x0000_t75" style="width:2856;height:2156;left:4238;position:absolute;top:2323" stroked="f">
                  <v:imagedata r:id="rId67" o:title=""/>
                </v:shape>
                <w10:wrap type="topAndBottom"/>
              </v:group>
            </w:pict>
          </mc:Fallback>
        </mc:AlternateContent>
      </w:r>
    </w:p>
    <w:p>
      <w:pPr>
        <w:pStyle w:val="BodyText"/>
        <w:spacing w:before="171" w:line="266" w:lineRule="auto"/>
        <w:ind w:right="291"/>
        <w:jc w:val="both"/>
      </w:pPr>
      <w:r>
        <w:rPr>
          <w:sz w:val="16"/>
        </w:rPr>
        <w:t xml:space="preserve">Vstupte </w:t>
      </w:r>
      <w:r>
        <w:rPr>
          <w:sz w:val="16"/>
        </w:rPr>
        <w:t xml:space="preserve">do režimu </w:t>
      </w:r>
      <w:r>
        <w:rPr>
          <w:sz w:val="16"/>
        </w:rPr>
        <w:t xml:space="preserve">stisknutím </w:t>
      </w:r>
      <w:r>
        <w:rPr>
          <w:sz w:val="16"/>
        </w:rPr>
        <w:t xml:space="preserve">odpovídající </w:t>
      </w:r>
      <w:r>
        <w:rPr>
          <w:sz w:val="16"/>
        </w:rPr>
        <w:t xml:space="preserve">numerické klávesy pro </w:t>
      </w:r>
      <w:r>
        <w:rPr>
          <w:sz w:val="16"/>
        </w:rPr>
        <w:t xml:space="preserve">režim </w:t>
      </w:r>
      <w:r>
        <w:rPr>
          <w:sz w:val="16"/>
        </w:rPr>
        <w:t>knihovny léků</w:t>
      </w:r>
      <w:r>
        <w:rPr>
          <w:sz w:val="16"/>
        </w:rPr>
        <w:t xml:space="preserve">. Vyberte požadovanou </w:t>
      </w:r>
      <w:r>
        <w:rPr>
          <w:sz w:val="16"/>
        </w:rPr>
        <w:t>kategorii léků podle svých potřeb, vstupte do podnabídky názvů léků a po správném nastavení parametrů stiskněte potvrzovací klávesu pro uložení nastavení.</w:t>
      </w:r>
    </w:p>
    <w:p>
      <w:pPr>
        <w:pStyle w:val="BodyText"/>
        <w:spacing w:after="0" w:line="266" w:lineRule="auto"/>
        <w:jc w:val="both"/>
        <w:sectPr>
          <w:pgSz w:w="8390" w:h="11910"/>
          <w:pgMar w:top="660" w:right="425" w:bottom="540" w:left="425" w:header="0" w:footer="342"/>
          <w:cols w:space="708"/>
        </w:sectPr>
      </w:pPr>
    </w:p>
    <w:p>
      <w:pPr>
        <w:pStyle w:val="BodyText"/>
        <w:spacing w:before="68" w:line="266" w:lineRule="auto"/>
      </w:pPr>
      <w:r>
        <w:rPr>
          <w:sz w:val="16"/>
        </w:rPr>
        <w:t xml:space="preserve">Systém </w:t>
      </w:r>
      <w:r>
        <w:rPr>
          <w:sz w:val="16"/>
        </w:rPr>
        <w:t xml:space="preserve">poskytuje </w:t>
      </w:r>
      <w:r>
        <w:rPr>
          <w:sz w:val="16"/>
        </w:rPr>
        <w:t xml:space="preserve">tři </w:t>
      </w:r>
      <w:r>
        <w:rPr>
          <w:sz w:val="16"/>
        </w:rPr>
        <w:t xml:space="preserve">typy </w:t>
      </w:r>
      <w:r>
        <w:rPr>
          <w:sz w:val="16"/>
        </w:rPr>
        <w:t xml:space="preserve">knihoven </w:t>
      </w:r>
      <w:r>
        <w:rPr>
          <w:sz w:val="16"/>
        </w:rPr>
        <w:t>léků</w:t>
      </w:r>
      <w:r>
        <w:rPr>
          <w:sz w:val="16"/>
        </w:rPr>
        <w:t xml:space="preserve">: </w:t>
      </w:r>
      <w:r>
        <w:rPr>
          <w:sz w:val="16"/>
        </w:rPr>
        <w:t xml:space="preserve">vestavěnou </w:t>
      </w:r>
      <w:r>
        <w:rPr>
          <w:sz w:val="16"/>
        </w:rPr>
        <w:t xml:space="preserve">knihovnu </w:t>
      </w:r>
      <w:r>
        <w:rPr>
          <w:sz w:val="16"/>
        </w:rPr>
        <w:t>léků</w:t>
      </w:r>
      <w:r>
        <w:rPr>
          <w:sz w:val="16"/>
        </w:rPr>
        <w:t xml:space="preserve">, </w:t>
      </w:r>
      <w:r>
        <w:rPr>
          <w:sz w:val="16"/>
        </w:rPr>
        <w:t xml:space="preserve">vlastní </w:t>
      </w:r>
      <w:r>
        <w:rPr>
          <w:sz w:val="16"/>
        </w:rPr>
        <w:t xml:space="preserve">knihovnu </w:t>
      </w:r>
      <w:r>
        <w:rPr>
          <w:sz w:val="16"/>
        </w:rPr>
        <w:t xml:space="preserve">léků </w:t>
      </w:r>
      <w:r>
        <w:rPr>
          <w:sz w:val="16"/>
        </w:rPr>
        <w:t>a běžnou knihovnu léků.</w:t>
      </w:r>
    </w:p>
    <w:p>
      <w:pPr>
        <w:pStyle w:val="BodyText"/>
        <w:spacing w:before="157" w:line="448" w:lineRule="auto"/>
        <w:ind w:right="2115"/>
      </w:pPr>
      <w:r>
        <w:rPr>
          <w:sz w:val="16"/>
        </w:rPr>
        <w:t xml:space="preserve">Vestavěná </w:t>
      </w:r>
      <w:r>
        <w:rPr>
          <w:sz w:val="16"/>
        </w:rPr>
        <w:t xml:space="preserve">knihovna </w:t>
      </w:r>
      <w:r>
        <w:rPr>
          <w:sz w:val="16"/>
        </w:rPr>
        <w:t xml:space="preserve">léků </w:t>
      </w:r>
      <w:r>
        <w:rPr>
          <w:sz w:val="16"/>
        </w:rPr>
        <w:t xml:space="preserve">obsahuje </w:t>
      </w:r>
      <w:r>
        <w:rPr>
          <w:sz w:val="16"/>
        </w:rPr>
        <w:t>nejméně</w:t>
      </w:r>
      <w:r>
        <w:rPr>
          <w:sz w:val="16"/>
        </w:rPr>
        <w:t xml:space="preserve"> 842 </w:t>
      </w:r>
      <w:r>
        <w:rPr>
          <w:sz w:val="16"/>
        </w:rPr>
        <w:t xml:space="preserve">typů </w:t>
      </w:r>
      <w:r>
        <w:rPr>
          <w:sz w:val="16"/>
        </w:rPr>
        <w:t>léků. Vlastní knihovna léků obsahuje nejméně 120 typů léků.</w:t>
      </w:r>
    </w:p>
    <w:p>
      <w:pPr>
        <w:pStyle w:val="BodyText"/>
        <w:spacing w:before="0" w:line="264" w:lineRule="auto"/>
      </w:pPr>
      <w:r>
        <w:rPr>
          <w:sz w:val="16"/>
        </w:rPr>
        <w:t xml:space="preserve">Společná </w:t>
      </w:r>
      <w:r>
        <w:rPr>
          <w:sz w:val="16"/>
        </w:rPr>
        <w:t xml:space="preserve">knihovna </w:t>
      </w:r>
      <w:r>
        <w:rPr>
          <w:sz w:val="16"/>
        </w:rPr>
        <w:t>léků</w:t>
      </w:r>
      <w:r>
        <w:rPr>
          <w:sz w:val="16"/>
        </w:rPr>
        <w:t xml:space="preserve">: </w:t>
      </w:r>
      <w:r>
        <w:rPr>
          <w:sz w:val="16"/>
        </w:rPr>
        <w:t xml:space="preserve">Léky </w:t>
      </w:r>
      <w:r>
        <w:rPr>
          <w:sz w:val="16"/>
        </w:rPr>
        <w:t xml:space="preserve">automaticky </w:t>
      </w:r>
      <w:r>
        <w:rPr>
          <w:sz w:val="16"/>
        </w:rPr>
        <w:t xml:space="preserve">přidávané </w:t>
      </w:r>
      <w:r>
        <w:rPr>
          <w:sz w:val="16"/>
        </w:rPr>
        <w:t xml:space="preserve">do </w:t>
      </w:r>
      <w:r>
        <w:rPr>
          <w:sz w:val="16"/>
        </w:rPr>
        <w:t xml:space="preserve">společné </w:t>
      </w:r>
      <w:r>
        <w:rPr>
          <w:sz w:val="16"/>
        </w:rPr>
        <w:t xml:space="preserve">knihovny </w:t>
      </w:r>
      <w:r>
        <w:rPr>
          <w:sz w:val="16"/>
        </w:rPr>
        <w:t xml:space="preserve">léků </w:t>
      </w:r>
      <w:r>
        <w:rPr>
          <w:sz w:val="16"/>
        </w:rPr>
        <w:t xml:space="preserve">po </w:t>
      </w:r>
      <w:r>
        <w:rPr>
          <w:sz w:val="16"/>
        </w:rPr>
        <w:t>použití inherentních léků.</w:t>
      </w:r>
    </w:p>
    <w:p>
      <w:pPr>
        <w:pStyle w:val="BodyText"/>
        <w:spacing w:before="158" w:line="266" w:lineRule="auto"/>
      </w:pPr>
      <w:r>
        <w:rPr>
          <w:sz w:val="16"/>
        </w:rPr>
        <w:t xml:space="preserve">Vlastní </w:t>
      </w:r>
      <w:r>
        <w:rPr>
          <w:sz w:val="16"/>
        </w:rPr>
        <w:t xml:space="preserve">léky </w:t>
      </w:r>
      <w:r>
        <w:rPr>
          <w:sz w:val="16"/>
        </w:rPr>
        <w:t xml:space="preserve">umožňují </w:t>
      </w:r>
      <w:r>
        <w:rPr>
          <w:sz w:val="16"/>
        </w:rPr>
        <w:t xml:space="preserve">zadávání </w:t>
      </w:r>
      <w:r>
        <w:rPr>
          <w:sz w:val="16"/>
        </w:rPr>
        <w:t xml:space="preserve">názvů </w:t>
      </w:r>
      <w:r>
        <w:rPr>
          <w:sz w:val="16"/>
        </w:rPr>
        <w:t xml:space="preserve">léků </w:t>
      </w:r>
      <w:r>
        <w:rPr>
          <w:sz w:val="16"/>
        </w:rPr>
        <w:t xml:space="preserve">a </w:t>
      </w:r>
      <w:r>
        <w:rPr>
          <w:sz w:val="16"/>
        </w:rPr>
        <w:t xml:space="preserve">nastavení </w:t>
      </w:r>
      <w:r>
        <w:rPr>
          <w:sz w:val="16"/>
        </w:rPr>
        <w:t xml:space="preserve">režimů </w:t>
      </w:r>
      <w:r>
        <w:rPr>
          <w:sz w:val="16"/>
        </w:rPr>
        <w:t xml:space="preserve">podávání </w:t>
      </w:r>
      <w:r>
        <w:rPr>
          <w:sz w:val="16"/>
        </w:rPr>
        <w:t xml:space="preserve">léků </w:t>
      </w:r>
      <w:r>
        <w:rPr>
          <w:sz w:val="16"/>
        </w:rPr>
        <w:t>(k dispozici jsou tři režimy: režim dávky, režim hmotnosti, režim rychlosti).</w:t>
      </w:r>
    </w:p>
    <w:p>
      <w:pPr>
        <w:pStyle w:val="BodyText"/>
        <w:spacing w:before="157" w:line="266" w:lineRule="auto"/>
      </w:pPr>
      <w:r>
        <w:rPr>
          <w:sz w:val="16"/>
        </w:rPr>
        <w:t xml:space="preserve">Nastavení knihovny léků: V </w:t>
      </w:r>
      <w:r>
        <w:rPr>
          <w:sz w:val="16"/>
        </w:rPr>
        <w:t>nastavení</w:t>
      </w:r>
      <w:r>
        <w:rPr>
          <w:sz w:val="16"/>
        </w:rPr>
        <w:t xml:space="preserve"> knihovny léků lze nastavit jak běžné léky, tak vlastní knihovny léků</w:t>
      </w:r>
      <w:r>
        <w:rPr>
          <w:sz w:val="16"/>
        </w:rPr>
        <w:t>.</w:t>
      </w:r>
    </w:p>
    <w:p>
      <w:pPr>
        <w:pStyle w:val="BodyText"/>
        <w:spacing w:before="158"/>
      </w:pPr>
      <w:r>
        <w:rPr>
          <w:sz w:val="16"/>
        </w:rPr>
        <w:t xml:space="preserve">Maximální </w:t>
      </w:r>
      <w:r>
        <w:rPr>
          <w:sz w:val="16"/>
        </w:rPr>
        <w:t xml:space="preserve">a </w:t>
      </w:r>
      <w:r>
        <w:rPr>
          <w:sz w:val="16"/>
        </w:rPr>
        <w:t xml:space="preserve">minimální </w:t>
      </w:r>
      <w:r>
        <w:rPr>
          <w:sz w:val="16"/>
        </w:rPr>
        <w:t xml:space="preserve">limity </w:t>
      </w:r>
      <w:r>
        <w:rPr>
          <w:sz w:val="16"/>
        </w:rPr>
        <w:t xml:space="preserve">dávky </w:t>
      </w:r>
      <w:r>
        <w:rPr>
          <w:sz w:val="16"/>
        </w:rPr>
        <w:t xml:space="preserve">lze </w:t>
      </w:r>
      <w:r>
        <w:rPr>
          <w:sz w:val="16"/>
        </w:rPr>
        <w:t xml:space="preserve">nastavit </w:t>
      </w:r>
      <w:r>
        <w:rPr>
          <w:sz w:val="16"/>
        </w:rPr>
        <w:t xml:space="preserve">samostatně pro </w:t>
      </w:r>
      <w:r>
        <w:rPr>
          <w:sz w:val="16"/>
        </w:rPr>
        <w:t xml:space="preserve">každý </w:t>
      </w:r>
      <w:r>
        <w:rPr>
          <w:spacing w:val="-4"/>
          <w:sz w:val="16"/>
        </w:rPr>
        <w:t>lék.</w:t>
      </w:r>
    </w:p>
    <w:p>
      <w:pPr>
        <w:pStyle w:val="BodyText"/>
        <w:spacing w:before="73"/>
        <w:ind w:left="0"/>
      </w:pPr>
    </w:p>
    <w:p>
      <w:pPr>
        <w:pStyle w:val="ListParagraph"/>
        <w:numPr>
          <w:ilvl w:val="1"/>
          <w:numId w:val="22"/>
        </w:numPr>
        <w:tabs>
          <w:tab w:val="left" w:pos="533"/>
        </w:tabs>
        <w:spacing w:before="0" w:after="0" w:line="240" w:lineRule="auto"/>
        <w:ind w:left="533" w:right="0" w:hanging="238"/>
        <w:jc w:val="left"/>
        <w:rPr>
          <w:sz w:val="18"/>
        </w:rPr>
      </w:pPr>
      <w:r>
        <w:rPr>
          <w:spacing w:val="-4"/>
          <w:sz w:val="16"/>
        </w:rPr>
        <w:t xml:space="preserve">Režim </w:t>
      </w:r>
      <w:r>
        <w:rPr>
          <w:spacing w:val="-7"/>
          <w:sz w:val="16"/>
        </w:rPr>
        <w:t>TIVA</w:t>
      </w:r>
    </w:p>
    <w:p>
      <w:pPr>
        <w:pStyle w:val="BodyText"/>
        <w:spacing w:before="11"/>
        <w:ind w:left="0"/>
        <w:rPr>
          <w:sz w:val="6"/>
        </w:rPr>
      </w:pPr>
      <w:r>
        <w:rPr>
          <w:sz w:val="6"/>
        </w:rPr>
        <w:drawing>
          <wp:anchor distT="0" distB="0" distL="0" distR="0" simplePos="0" relativeHeight="251704320" behindDoc="1" locked="0" layoutInCell="1" allowOverlap="1">
            <wp:simplePos x="0" y="0"/>
            <wp:positionH relativeFrom="page">
              <wp:posOffset>816863</wp:posOffset>
            </wp:positionH>
            <wp:positionV relativeFrom="paragraph">
              <wp:posOffset>66214</wp:posOffset>
            </wp:positionV>
            <wp:extent cx="1797591" cy="1355312"/>
            <wp:effectExtent l="0" t="0" r="0" b="0"/>
            <wp:wrapTopAndBottom/>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xmlns:r="http://schemas.openxmlformats.org/officeDocument/2006/relationships" r:embed="rId68" cstate="print"/>
                    <a:stretch>
                      <a:fillRect/>
                    </a:stretch>
                  </pic:blipFill>
                  <pic:spPr>
                    <a:xfrm>
                      <a:off x="0" y="0"/>
                      <a:ext cx="1797591" cy="1355312"/>
                    </a:xfrm>
                    <a:prstGeom prst="rect">
                      <a:avLst/>
                    </a:prstGeom>
                  </pic:spPr>
                </pic:pic>
              </a:graphicData>
            </a:graphic>
          </wp:anchor>
        </w:drawing>
      </w:r>
      <w:r>
        <w:rPr>
          <w:sz w:val="6"/>
        </w:rPr>
        <w:drawing>
          <wp:anchor distT="0" distB="0" distL="0" distR="0" simplePos="0" relativeHeight="251705344" behindDoc="1" locked="0" layoutInCell="1" allowOverlap="1">
            <wp:simplePos x="0" y="0"/>
            <wp:positionH relativeFrom="page">
              <wp:posOffset>2692907</wp:posOffset>
            </wp:positionH>
            <wp:positionV relativeFrom="paragraph">
              <wp:posOffset>66214</wp:posOffset>
            </wp:positionV>
            <wp:extent cx="1808388" cy="1361217"/>
            <wp:effectExtent l="0" t="0" r="0" b="0"/>
            <wp:wrapTopAndBottom/>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xmlns:r="http://schemas.openxmlformats.org/officeDocument/2006/relationships" r:embed="rId69" cstate="print"/>
                    <a:stretch>
                      <a:fillRect/>
                    </a:stretch>
                  </pic:blipFill>
                  <pic:spPr>
                    <a:xfrm>
                      <a:off x="0" y="0"/>
                      <a:ext cx="1808388" cy="1361217"/>
                    </a:xfrm>
                    <a:prstGeom prst="rect">
                      <a:avLst/>
                    </a:prstGeom>
                  </pic:spPr>
                </pic:pic>
              </a:graphicData>
            </a:graphic>
          </wp:anchor>
        </w:drawing>
      </w:r>
    </w:p>
    <w:p>
      <w:pPr>
        <w:pStyle w:val="BodyText"/>
        <w:spacing w:before="190"/>
      </w:pPr>
      <w:r>
        <w:rPr>
          <w:sz w:val="16"/>
        </w:rPr>
        <w:t xml:space="preserve">Stisknutím </w:t>
      </w:r>
      <w:r>
        <w:rPr>
          <w:sz w:val="16"/>
        </w:rPr>
        <w:t xml:space="preserve">číslicové </w:t>
      </w:r>
      <w:r>
        <w:rPr>
          <w:sz w:val="16"/>
        </w:rPr>
        <w:t xml:space="preserve">klávesy 2 </w:t>
      </w:r>
      <w:r>
        <w:rPr>
          <w:sz w:val="16"/>
        </w:rPr>
        <w:t xml:space="preserve">přejděte do </w:t>
      </w:r>
      <w:r>
        <w:rPr>
          <w:spacing w:val="-4"/>
          <w:sz w:val="16"/>
        </w:rPr>
        <w:t xml:space="preserve">režimu </w:t>
      </w:r>
      <w:r>
        <w:rPr>
          <w:sz w:val="16"/>
        </w:rPr>
        <w:t>TIVA</w:t>
      </w:r>
      <w:r>
        <w:rPr>
          <w:spacing w:val="-4"/>
          <w:sz w:val="16"/>
        </w:rPr>
        <w:t>.</w:t>
      </w:r>
    </w:p>
    <w:p>
      <w:pPr>
        <w:pStyle w:val="BodyText"/>
        <w:spacing w:before="189" w:line="278" w:lineRule="auto"/>
        <w:ind w:right="353"/>
      </w:pPr>
      <w:r>
        <w:rPr>
          <w:sz w:val="16"/>
        </w:rPr>
        <w:t xml:space="preserve">Zadejte </w:t>
      </w:r>
      <w:r>
        <w:rPr>
          <w:sz w:val="16"/>
        </w:rPr>
        <w:t xml:space="preserve">jednotku, </w:t>
      </w:r>
      <w:r>
        <w:rPr>
          <w:sz w:val="16"/>
        </w:rPr>
        <w:t xml:space="preserve">hmotnost, </w:t>
      </w:r>
      <w:r>
        <w:rPr>
          <w:sz w:val="16"/>
        </w:rPr>
        <w:t xml:space="preserve">koncentraci, </w:t>
      </w:r>
      <w:r>
        <w:rPr>
          <w:sz w:val="16"/>
        </w:rPr>
        <w:t xml:space="preserve">indukční </w:t>
      </w:r>
      <w:r>
        <w:rPr>
          <w:sz w:val="16"/>
        </w:rPr>
        <w:t xml:space="preserve">objem, </w:t>
      </w:r>
      <w:r>
        <w:rPr>
          <w:sz w:val="16"/>
        </w:rPr>
        <w:t xml:space="preserve">indukční </w:t>
      </w:r>
      <w:r>
        <w:rPr>
          <w:sz w:val="16"/>
        </w:rPr>
        <w:t xml:space="preserve">čas </w:t>
      </w:r>
      <w:r>
        <w:rPr>
          <w:sz w:val="16"/>
        </w:rPr>
        <w:t xml:space="preserve">a </w:t>
      </w:r>
      <w:r>
        <w:rPr>
          <w:sz w:val="16"/>
        </w:rPr>
        <w:t xml:space="preserve">udržovací </w:t>
      </w:r>
      <w:r>
        <w:rPr>
          <w:sz w:val="16"/>
        </w:rPr>
        <w:t>dávku, indukční rychlost a udržovací rychlost se vypočítají automaticky.</w:t>
      </w:r>
    </w:p>
    <w:p>
      <w:pPr>
        <w:pStyle w:val="BodyText"/>
      </w:pPr>
      <w:r>
        <w:rPr>
          <w:sz w:val="16"/>
        </w:rPr>
        <w:t xml:space="preserve">Stisknutím tlačítka </w:t>
      </w:r>
      <w:r>
        <w:rPr>
          <w:sz w:val="16"/>
        </w:rPr>
        <w:t>„</w:t>
      </w:r>
      <w:r>
        <w:drawing>
          <wp:inline distT="0" distB="0" distL="0" distR="0">
            <wp:extent cx="177811" cy="92963"/>
            <wp:effectExtent l="0" t="0" r="0" b="0"/>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xmlns:r="http://schemas.openxmlformats.org/officeDocument/2006/relationships" r:embed="rId70" cstate="print"/>
                    <a:stretch>
                      <a:fillRect/>
                    </a:stretch>
                  </pic:blipFill>
                  <pic:spPr>
                    <a:xfrm>
                      <a:off x="0" y="0"/>
                      <a:ext cx="177811" cy="92963"/>
                    </a:xfrm>
                    <a:prstGeom prst="rect">
                      <a:avLst/>
                    </a:prstGeom>
                  </pic:spPr>
                </pic:pic>
              </a:graphicData>
            </a:graphic>
          </wp:inline>
        </w:drawing>
      </w:r>
      <w:r>
        <w:rPr>
          <w:sz w:val="16"/>
        </w:rPr>
        <w:t xml:space="preserve"> “ (</w:t>
      </w:r>
      <w:r>
        <w:rPr>
          <w:sz w:val="16"/>
        </w:rPr>
        <w:t>Další stránka</w:t>
      </w:r>
      <w:r>
        <w:rPr>
          <w:spacing w:val="-4"/>
          <w:sz w:val="16"/>
        </w:rPr>
        <w:t xml:space="preserve">) </w:t>
      </w:r>
      <w:r>
        <w:rPr>
          <w:sz w:val="16"/>
        </w:rPr>
        <w:t xml:space="preserve">přejděte </w:t>
      </w:r>
      <w:r>
        <w:rPr>
          <w:sz w:val="16"/>
        </w:rPr>
        <w:t xml:space="preserve">na </w:t>
      </w:r>
      <w:r>
        <w:rPr>
          <w:sz w:val="16"/>
        </w:rPr>
        <w:t xml:space="preserve">další stránku </w:t>
      </w:r>
      <w:r>
        <w:rPr>
          <w:sz w:val="16"/>
        </w:rPr>
        <w:t xml:space="preserve">a </w:t>
      </w:r>
      <w:r>
        <w:rPr>
          <w:sz w:val="16"/>
        </w:rPr>
        <w:t xml:space="preserve">nastavte udržovací </w:t>
      </w:r>
      <w:r>
        <w:rPr>
          <w:spacing w:val="-4"/>
          <w:sz w:val="16"/>
        </w:rPr>
        <w:t>dávku</w:t>
      </w:r>
    </w:p>
    <w:p>
      <w:pPr>
        <w:pStyle w:val="BodyText"/>
        <w:spacing w:before="51"/>
        <w:ind w:left="0"/>
      </w:pPr>
    </w:p>
    <w:p>
      <w:pPr>
        <w:pStyle w:val="Heading2"/>
        <w:numPr>
          <w:ilvl w:val="2"/>
          <w:numId w:val="1"/>
        </w:numPr>
        <w:tabs>
          <w:tab w:val="left" w:pos="698"/>
        </w:tabs>
        <w:spacing w:before="0" w:after="0" w:line="240" w:lineRule="auto"/>
        <w:ind w:left="698" w:right="0" w:hanging="403"/>
        <w:jc w:val="left"/>
      </w:pPr>
      <w:r>
        <w:rPr>
          <w:spacing w:val="-2"/>
          <w:sz w:val="16"/>
        </w:rPr>
        <w:t>Proplachování</w:t>
      </w:r>
    </w:p>
    <w:p>
      <w:pPr>
        <w:pStyle w:val="BodyText"/>
        <w:spacing w:before="180" w:line="278" w:lineRule="auto"/>
      </w:pPr>
      <w:r>
        <w:rPr>
          <w:sz w:val="16"/>
        </w:rPr>
        <w:t xml:space="preserve">Stiskněte </w:t>
      </w:r>
      <w:r>
        <w:rPr>
          <w:sz w:val="16"/>
        </w:rPr>
        <w:t xml:space="preserve">tlačítko </w:t>
      </w:r>
      <w:r>
        <w:rPr>
          <w:sz w:val="16"/>
        </w:rPr>
        <w:t xml:space="preserve">pro rychlý posun vpřed, </w:t>
      </w:r>
      <w:r>
        <w:rPr>
          <w:sz w:val="16"/>
        </w:rPr>
        <w:t xml:space="preserve">dokud </w:t>
      </w:r>
      <w:r>
        <w:rPr>
          <w:sz w:val="16"/>
        </w:rPr>
        <w:t xml:space="preserve">nebude </w:t>
      </w:r>
      <w:r>
        <w:rPr>
          <w:sz w:val="16"/>
        </w:rPr>
        <w:t xml:space="preserve">z </w:t>
      </w:r>
      <w:r>
        <w:rPr>
          <w:sz w:val="16"/>
        </w:rPr>
        <w:t xml:space="preserve">infuzní </w:t>
      </w:r>
      <w:r>
        <w:rPr>
          <w:sz w:val="16"/>
        </w:rPr>
        <w:t xml:space="preserve">hadičky </w:t>
      </w:r>
      <w:r>
        <w:rPr>
          <w:sz w:val="16"/>
        </w:rPr>
        <w:t xml:space="preserve">vytlačen </w:t>
      </w:r>
      <w:r>
        <w:rPr>
          <w:sz w:val="16"/>
        </w:rPr>
        <w:t xml:space="preserve">veškerý </w:t>
      </w:r>
      <w:r>
        <w:rPr>
          <w:sz w:val="16"/>
        </w:rPr>
        <w:t>vzduch</w:t>
      </w:r>
      <w:r>
        <w:rPr>
          <w:sz w:val="16"/>
        </w:rPr>
        <w:t xml:space="preserve">. </w:t>
      </w:r>
      <w:r>
        <w:rPr>
          <w:sz w:val="16"/>
        </w:rPr>
        <w:t>Průtok vzniklý proplachováním není zahrnut do celkového objemu.</w:t>
      </w:r>
    </w:p>
    <w:p>
      <w:pPr>
        <w:pStyle w:val="Heading2"/>
        <w:spacing w:before="155" w:line="278" w:lineRule="auto"/>
      </w:pPr>
      <w:r>
        <w:rPr>
          <w:sz w:val="16"/>
        </w:rPr>
        <w:t>Poznámka: Proplachování by mělo být prováděno pouze v době, kdy neprobíhá infuze a infuzní hadička není připojena k pacientovi.</w:t>
      </w:r>
    </w:p>
    <w:p>
      <w:pPr>
        <w:pStyle w:val="Heading2"/>
        <w:spacing w:after="0" w:line="278" w:lineRule="auto"/>
        <w:sectPr>
          <w:pgSz w:w="8390" w:h="11910"/>
          <w:pgMar w:top="660" w:right="425" w:bottom="540" w:left="425" w:header="0" w:footer="342"/>
          <w:cols w:space="708"/>
        </w:sectPr>
      </w:pPr>
    </w:p>
    <w:p>
      <w:pPr>
        <w:pStyle w:val="ListParagraph"/>
        <w:numPr>
          <w:ilvl w:val="2"/>
          <w:numId w:val="1"/>
        </w:numPr>
        <w:tabs>
          <w:tab w:val="left" w:pos="698"/>
        </w:tabs>
        <w:spacing w:before="74" w:after="0" w:line="240" w:lineRule="auto"/>
        <w:ind w:left="698" w:right="0" w:hanging="403"/>
        <w:jc w:val="left"/>
        <w:rPr>
          <w:b/>
          <w:sz w:val="18"/>
        </w:rPr>
      </w:pPr>
      <w:r>
        <w:rPr>
          <w:b/>
          <w:sz w:val="16"/>
        </w:rPr>
        <w:t xml:space="preserve">Zahájení </w:t>
      </w:r>
      <w:r>
        <w:rPr>
          <w:b/>
          <w:spacing w:val="-2"/>
          <w:sz w:val="16"/>
        </w:rPr>
        <w:t>injekce</w:t>
      </w:r>
    </w:p>
    <w:p>
      <w:pPr>
        <w:pStyle w:val="BodyText"/>
        <w:spacing w:before="177" w:line="278" w:lineRule="auto"/>
        <w:ind w:right="291"/>
        <w:jc w:val="both"/>
      </w:pPr>
      <w:r>
        <w:rPr>
          <w:sz w:val="16"/>
        </w:rPr>
        <w:t>Po ověření správnosti nastavení parametrů stiskněte tlačítko start/stop pro zahájení infuze. Během procesu fungují kromě alarmů pouze tlačítka BOLUS a stop. Ve stavu infuze se na spodním stavovém řádku displeje injekční pumpy zobrazí „Running“ (Probíhá) a kontrolka provozu/alarmu bude blikat zeleně.</w:t>
      </w:r>
    </w:p>
    <w:p>
      <w:pPr>
        <w:pStyle w:val="BodyText"/>
        <w:spacing w:before="20"/>
        <w:ind w:left="0"/>
      </w:pPr>
    </w:p>
    <w:p>
      <w:pPr>
        <w:pStyle w:val="Heading2"/>
        <w:numPr>
          <w:ilvl w:val="2"/>
          <w:numId w:val="1"/>
        </w:numPr>
        <w:tabs>
          <w:tab w:val="left" w:pos="698"/>
        </w:tabs>
        <w:spacing w:before="0" w:after="0" w:line="240" w:lineRule="auto"/>
        <w:ind w:left="698" w:right="0" w:hanging="403"/>
        <w:jc w:val="left"/>
      </w:pPr>
      <w:r>
        <w:rPr>
          <w:spacing w:val="-2"/>
          <w:sz w:val="16"/>
        </w:rPr>
        <w:t>Bolus</w:t>
      </w:r>
    </w:p>
    <w:p>
      <w:pPr>
        <w:pStyle w:val="BodyText"/>
        <w:spacing w:before="180" w:line="278" w:lineRule="auto"/>
        <w:ind w:right="294"/>
        <w:jc w:val="both"/>
      </w:pPr>
      <w:r>
        <w:rPr>
          <w:sz w:val="16"/>
        </w:rPr>
        <w:t>Existují dva typy metod rychlé infuze: manuální bolus a automatický bolus. Postupujte podle následujících kroků:</w:t>
      </w:r>
    </w:p>
    <w:p>
      <w:pPr>
        <w:pStyle w:val="ListParagraph"/>
        <w:numPr>
          <w:ilvl w:val="0"/>
          <w:numId w:val="21"/>
        </w:numPr>
        <w:tabs>
          <w:tab w:val="left" w:pos="507"/>
        </w:tabs>
        <w:spacing w:before="156" w:after="0" w:line="278" w:lineRule="auto"/>
        <w:ind w:left="295" w:right="294" w:firstLine="0"/>
        <w:jc w:val="both"/>
        <w:rPr>
          <w:sz w:val="18"/>
        </w:rPr>
      </w:pPr>
      <w:r>
        <w:rPr>
          <w:sz w:val="16"/>
        </w:rPr>
        <w:t>Manuální bolus: Pokud je bolus přednastaven na 0, během procesu injekce podržte stisknuté tlačítko rychlého posunu vpřed, abyste přešli do stavu rychlé injekce. Injekční pumpa bude podávat infuzi přednastavenou rychlostí bolusu. Uvolněním tlačítka se obnoví normální provozní rychlost.</w:t>
      </w:r>
    </w:p>
    <w:p>
      <w:pPr>
        <w:pStyle w:val="ListParagraph"/>
        <w:numPr>
          <w:ilvl w:val="0"/>
          <w:numId w:val="21"/>
        </w:numPr>
        <w:tabs>
          <w:tab w:val="left" w:pos="485"/>
        </w:tabs>
        <w:spacing w:before="152" w:after="0" w:line="271" w:lineRule="auto"/>
        <w:ind w:left="295" w:right="291" w:firstLine="0"/>
        <w:jc w:val="both"/>
        <w:rPr>
          <w:rFonts w:ascii="Calibri"/>
          <w:sz w:val="18"/>
        </w:rPr>
      </w:pPr>
      <w:r>
        <w:rPr>
          <w:sz w:val="16"/>
        </w:rPr>
        <w:t xml:space="preserve">Automatický bolus: </w:t>
      </w:r>
      <w:r>
        <w:rPr>
          <w:sz w:val="16"/>
        </w:rPr>
        <w:t xml:space="preserve">Pokud je bolus přednastaven na jinou hodnotu než 0, nastavte během injekčního procesu odpovídající parametry a poté stiskněte jednou tlačítko „6“, aby injekční pumpa </w:t>
      </w:r>
      <w:r>
        <w:rPr>
          <w:sz w:val="16"/>
        </w:rPr>
        <w:t xml:space="preserve">pracovala podle </w:t>
      </w:r>
      <w:r>
        <w:rPr>
          <w:spacing w:val="-2"/>
          <w:sz w:val="16"/>
        </w:rPr>
        <w:t>nastavení</w:t>
      </w:r>
      <w:r>
        <w:rPr>
          <w:sz w:val="16"/>
        </w:rPr>
        <w:t xml:space="preserve"> bolusu</w:t>
      </w:r>
      <w:r>
        <w:rPr>
          <w:spacing w:val="-2"/>
          <w:sz w:val="16"/>
        </w:rPr>
        <w:t>.</w:t>
      </w:r>
    </w:p>
    <w:p>
      <w:pPr>
        <w:pStyle w:val="Heading2"/>
        <w:spacing w:before="163" w:line="278" w:lineRule="auto"/>
        <w:ind w:right="294"/>
        <w:jc w:val="both"/>
      </w:pPr>
      <w:r>
        <w:rPr>
          <w:sz w:val="16"/>
        </w:rPr>
        <w:t>Poznámka: Rychlost bolusu může ovlivnit specifikace injekční stříkačky. Rychlost bolusu lze nakonfigurovat v rozhraní nastavení systému. Konkrétní postupy najdete v části 8.3.4.</w:t>
      </w:r>
    </w:p>
    <w:p>
      <w:pPr>
        <w:pStyle w:val="BodyText"/>
        <w:spacing w:before="18"/>
        <w:ind w:left="0"/>
        <w:rPr>
          <w:b/>
        </w:rPr>
      </w:pPr>
    </w:p>
    <w:p>
      <w:pPr>
        <w:pStyle w:val="ListParagraph"/>
        <w:numPr>
          <w:ilvl w:val="2"/>
          <w:numId w:val="1"/>
        </w:numPr>
        <w:tabs>
          <w:tab w:val="left" w:pos="698"/>
        </w:tabs>
        <w:spacing w:before="1" w:after="0" w:line="240" w:lineRule="auto"/>
        <w:ind w:left="698" w:right="0" w:hanging="403"/>
        <w:jc w:val="left"/>
        <w:rPr>
          <w:b/>
          <w:sz w:val="18"/>
        </w:rPr>
      </w:pPr>
      <w:r>
        <w:rPr>
          <w:b/>
          <w:sz w:val="16"/>
        </w:rPr>
        <w:t xml:space="preserve">Zastavení </w:t>
      </w:r>
      <w:r>
        <w:rPr>
          <w:b/>
          <w:spacing w:val="-2"/>
          <w:sz w:val="16"/>
        </w:rPr>
        <w:t>injekce</w:t>
      </w:r>
    </w:p>
    <w:p>
      <w:pPr>
        <w:pStyle w:val="BodyText"/>
        <w:spacing w:before="179" w:line="278" w:lineRule="auto"/>
        <w:ind w:right="291"/>
        <w:jc w:val="both"/>
      </w:pPr>
      <w:r>
        <w:rPr>
          <w:sz w:val="16"/>
        </w:rPr>
        <w:t>Stisknutím tlačítka Stop během nebo po injekčním procesu se infuze zastaví. V tomto okamžiku se na spodním stavovém řádku zobrazí „Stop“ a kontrolka provozu/alarmu zhasne. Rozhraní zobrazí celkový objem infuze a nastavitelné parametry.</w:t>
      </w:r>
    </w:p>
    <w:p>
      <w:pPr>
        <w:pStyle w:val="ListParagraph"/>
        <w:numPr>
          <w:ilvl w:val="0"/>
          <w:numId w:val="20"/>
        </w:numPr>
        <w:tabs>
          <w:tab w:val="left" w:pos="560"/>
        </w:tabs>
        <w:spacing w:before="156" w:after="0" w:line="278" w:lineRule="auto"/>
        <w:ind w:left="295" w:right="291" w:firstLine="0"/>
        <w:jc w:val="both"/>
        <w:rPr>
          <w:sz w:val="18"/>
        </w:rPr>
      </w:pPr>
      <w:r>
        <w:rPr>
          <w:sz w:val="16"/>
        </w:rPr>
        <w:t>Chcete-li změnit hodnoty parametrů, resetujte je na této obrazovce. Potvrďte změny a stisknutím tlačítka start/stop obnovte infuzi.</w:t>
      </w:r>
    </w:p>
    <w:p>
      <w:pPr>
        <w:pStyle w:val="ListParagraph"/>
        <w:numPr>
          <w:ilvl w:val="0"/>
          <w:numId w:val="20"/>
        </w:numPr>
        <w:tabs>
          <w:tab w:val="left" w:pos="591"/>
        </w:tabs>
        <w:spacing w:before="155" w:after="0" w:line="278" w:lineRule="auto"/>
        <w:ind w:left="295" w:right="291" w:firstLine="0"/>
        <w:jc w:val="both"/>
        <w:rPr>
          <w:sz w:val="18"/>
        </w:rPr>
      </w:pPr>
      <w:r>
        <w:rPr>
          <w:sz w:val="16"/>
        </w:rPr>
        <w:t>Chcete-li ukončit aktuální infuzi, vyberte možnost „Ukončit injekci“ a vraťte se do rozhraní pro nastavení režimu; nahromaděný objem se automaticky vynuluje.</w:t>
      </w:r>
    </w:p>
    <w:p>
      <w:pPr>
        <w:pStyle w:val="BodyText"/>
        <w:spacing w:before="19"/>
        <w:ind w:left="0"/>
      </w:pPr>
    </w:p>
    <w:p>
      <w:pPr>
        <w:pStyle w:val="Heading2"/>
        <w:numPr>
          <w:ilvl w:val="2"/>
          <w:numId w:val="1"/>
        </w:numPr>
        <w:tabs>
          <w:tab w:val="left" w:pos="698"/>
        </w:tabs>
        <w:spacing w:before="0" w:after="0" w:line="240" w:lineRule="auto"/>
        <w:ind w:left="698" w:right="0" w:hanging="403"/>
        <w:jc w:val="left"/>
      </w:pPr>
      <w:r>
        <w:rPr>
          <w:sz w:val="16"/>
        </w:rPr>
        <w:t xml:space="preserve">Dokončení </w:t>
      </w:r>
      <w:r>
        <w:rPr>
          <w:spacing w:val="-2"/>
          <w:sz w:val="16"/>
        </w:rPr>
        <w:t>injekce</w:t>
      </w:r>
    </w:p>
    <w:p>
      <w:pPr>
        <w:pStyle w:val="BodyText"/>
        <w:spacing w:before="182" w:line="278" w:lineRule="auto"/>
        <w:ind w:right="293"/>
        <w:jc w:val="both"/>
      </w:pPr>
      <w:r>
        <w:rPr>
          <w:sz w:val="16"/>
        </w:rPr>
        <w:t xml:space="preserve">Po dokončení přednastaveného objemu injekce spustí injekční pumpu funkci KVO, </w:t>
      </w:r>
      <w:r>
        <w:rPr>
          <w:sz w:val="16"/>
        </w:rPr>
        <w:t xml:space="preserve">aby provedla injekci a signalizovala alarm pro dokončení injekce. Stisknutím tlačítka Stop ukončete </w:t>
      </w:r>
      <w:r>
        <w:rPr>
          <w:sz w:val="16"/>
        </w:rPr>
        <w:t>infuzi.</w:t>
      </w:r>
    </w:p>
    <w:p>
      <w:pPr>
        <w:pStyle w:val="BodyText"/>
        <w:spacing w:before="18"/>
        <w:ind w:left="0"/>
      </w:pPr>
    </w:p>
    <w:p>
      <w:pPr>
        <w:pStyle w:val="Heading2"/>
        <w:numPr>
          <w:ilvl w:val="2"/>
          <w:numId w:val="1"/>
        </w:numPr>
        <w:tabs>
          <w:tab w:val="left" w:pos="786"/>
        </w:tabs>
        <w:spacing w:before="0" w:after="0" w:line="240" w:lineRule="auto"/>
        <w:ind w:left="786" w:right="0" w:hanging="491"/>
        <w:jc w:val="left"/>
      </w:pPr>
      <w:r>
        <w:rPr>
          <w:sz w:val="16"/>
        </w:rPr>
        <w:t xml:space="preserve">Výměna </w:t>
      </w:r>
      <w:r>
        <w:rPr>
          <w:sz w:val="16"/>
        </w:rPr>
        <w:t xml:space="preserve">injekční </w:t>
      </w:r>
      <w:r>
        <w:rPr>
          <w:spacing w:val="-2"/>
          <w:sz w:val="16"/>
        </w:rPr>
        <w:t>stříkačky</w:t>
      </w:r>
    </w:p>
    <w:p>
      <w:pPr>
        <w:pStyle w:val="ListParagraph"/>
        <w:numPr>
          <w:ilvl w:val="0"/>
          <w:numId w:val="19"/>
        </w:numPr>
        <w:tabs>
          <w:tab w:val="left" w:pos="548"/>
        </w:tabs>
        <w:spacing w:before="179" w:after="0" w:line="278" w:lineRule="auto"/>
        <w:ind w:left="295" w:right="293" w:firstLine="0"/>
        <w:jc w:val="both"/>
        <w:rPr>
          <w:sz w:val="18"/>
        </w:rPr>
      </w:pPr>
      <w:r>
        <w:rPr>
          <w:sz w:val="16"/>
        </w:rPr>
        <w:t xml:space="preserve">Zvedněte </w:t>
      </w:r>
      <w:r>
        <w:rPr>
          <w:sz w:val="16"/>
        </w:rPr>
        <w:t xml:space="preserve">rukojeť pumpy </w:t>
      </w:r>
      <w:r>
        <w:rPr>
          <w:sz w:val="16"/>
        </w:rPr>
        <w:t xml:space="preserve">nahoru </w:t>
      </w:r>
      <w:r>
        <w:rPr>
          <w:sz w:val="16"/>
        </w:rPr>
        <w:t xml:space="preserve">a </w:t>
      </w:r>
      <w:r>
        <w:rPr>
          <w:sz w:val="16"/>
        </w:rPr>
        <w:t xml:space="preserve">otočte ji </w:t>
      </w:r>
      <w:r>
        <w:rPr>
          <w:sz w:val="16"/>
        </w:rPr>
        <w:t>o</w:t>
      </w:r>
      <w:r>
        <w:rPr>
          <w:sz w:val="16"/>
        </w:rPr>
        <w:t xml:space="preserve"> 90° </w:t>
      </w:r>
      <w:r>
        <w:rPr>
          <w:sz w:val="16"/>
        </w:rPr>
        <w:t xml:space="preserve">doleva nebo </w:t>
      </w:r>
      <w:r>
        <w:rPr>
          <w:sz w:val="16"/>
        </w:rPr>
        <w:t xml:space="preserve">doprava, </w:t>
      </w:r>
      <w:r>
        <w:rPr>
          <w:sz w:val="16"/>
        </w:rPr>
        <w:t xml:space="preserve">aby </w:t>
      </w:r>
      <w:r>
        <w:rPr>
          <w:sz w:val="16"/>
        </w:rPr>
        <w:t>se</w:t>
      </w:r>
      <w:r>
        <w:rPr>
          <w:sz w:val="16"/>
        </w:rPr>
        <w:t xml:space="preserve"> zajistila </w:t>
      </w:r>
      <w:r>
        <w:rPr>
          <w:sz w:val="16"/>
        </w:rPr>
        <w:t xml:space="preserve">na </w:t>
      </w:r>
      <w:r>
        <w:rPr>
          <w:sz w:val="16"/>
        </w:rPr>
        <w:t xml:space="preserve">místě. Stiskněte </w:t>
      </w:r>
      <w:r>
        <w:rPr>
          <w:sz w:val="16"/>
        </w:rPr>
        <w:t>a podržte spojku, aniž byste ji uvolnili, a vyjměte injekční stříkačku.</w:t>
      </w:r>
    </w:p>
    <w:p>
      <w:pPr>
        <w:pStyle w:val="ListParagraph"/>
        <w:numPr>
          <w:ilvl w:val="0"/>
          <w:numId w:val="19"/>
        </w:numPr>
        <w:tabs>
          <w:tab w:val="left" w:pos="548"/>
        </w:tabs>
        <w:spacing w:before="156" w:after="0" w:line="240" w:lineRule="auto"/>
        <w:ind w:left="548" w:right="0" w:hanging="253"/>
        <w:jc w:val="left"/>
        <w:rPr>
          <w:sz w:val="18"/>
        </w:rPr>
      </w:pPr>
      <w:r>
        <w:rPr>
          <w:sz w:val="16"/>
        </w:rPr>
        <w:t xml:space="preserve">Nainstalujte </w:t>
      </w:r>
      <w:r>
        <w:rPr>
          <w:sz w:val="16"/>
        </w:rPr>
        <w:t xml:space="preserve">novou </w:t>
      </w:r>
      <w:r>
        <w:rPr>
          <w:sz w:val="16"/>
        </w:rPr>
        <w:t xml:space="preserve">injekční stříkačku </w:t>
      </w:r>
      <w:r>
        <w:rPr>
          <w:sz w:val="16"/>
        </w:rPr>
        <w:t>správným způsobem</w:t>
      </w:r>
      <w:r>
        <w:rPr>
          <w:sz w:val="16"/>
        </w:rPr>
        <w:t xml:space="preserve">, jak </w:t>
      </w:r>
      <w:r>
        <w:rPr>
          <w:sz w:val="16"/>
        </w:rPr>
        <w:t xml:space="preserve">je popsáno </w:t>
      </w:r>
      <w:r>
        <w:rPr>
          <w:sz w:val="16"/>
        </w:rPr>
        <w:t>v bodě</w:t>
      </w:r>
      <w:r>
        <w:rPr>
          <w:spacing w:val="-2"/>
          <w:sz w:val="16"/>
        </w:rPr>
        <w:t xml:space="preserve"> 8.1.3.</w:t>
      </w:r>
    </w:p>
    <w:p>
      <w:pPr>
        <w:pStyle w:val="ListParagraph"/>
        <w:spacing w:after="0" w:line="240" w:lineRule="auto"/>
        <w:jc w:val="left"/>
        <w:rPr>
          <w:sz w:val="18"/>
        </w:rPr>
        <w:sectPr>
          <w:pgSz w:w="8390" w:h="11910"/>
          <w:pgMar w:top="640" w:right="425" w:bottom="540" w:left="425" w:header="0" w:footer="342"/>
          <w:cols w:space="708"/>
        </w:sectPr>
      </w:pPr>
    </w:p>
    <w:p>
      <w:pPr>
        <w:pStyle w:val="Heading1"/>
        <w:numPr>
          <w:ilvl w:val="1"/>
          <w:numId w:val="1"/>
        </w:numPr>
        <w:tabs>
          <w:tab w:val="left" w:pos="581"/>
        </w:tabs>
        <w:spacing w:before="72" w:after="0" w:line="240" w:lineRule="auto"/>
        <w:ind w:left="581" w:right="0" w:hanging="286"/>
        <w:jc w:val="left"/>
      </w:pPr>
      <w:bookmarkStart w:id="62" w:name="8.2 Alarm conditions and Management"/>
      <w:bookmarkEnd w:id="62"/>
      <w:bookmarkStart w:id="63" w:name="_bookmark31"/>
      <w:bookmarkEnd w:id="63"/>
      <w:r>
        <w:rPr>
          <w:sz w:val="18"/>
        </w:rPr>
        <w:t xml:space="preserve">Alarmové </w:t>
      </w:r>
      <w:r>
        <w:rPr>
          <w:sz w:val="18"/>
        </w:rPr>
        <w:t xml:space="preserve">stavy </w:t>
      </w:r>
      <w:r>
        <w:rPr>
          <w:sz w:val="18"/>
        </w:rPr>
        <w:t xml:space="preserve">a </w:t>
      </w:r>
      <w:r>
        <w:rPr>
          <w:spacing w:val="-2"/>
          <w:sz w:val="18"/>
        </w:rPr>
        <w:t>jejich řešení</w:t>
      </w:r>
    </w:p>
    <w:p>
      <w:pPr>
        <w:pStyle w:val="BodyText"/>
        <w:spacing w:before="180" w:line="278" w:lineRule="auto"/>
      </w:pPr>
      <w:r>
        <w:rPr>
          <w:sz w:val="16"/>
        </w:rPr>
        <w:t>Během přípravy na injekci a během injekčního procesu se mohou vyskytnout následující alarmy. Postupujte podle pokynů pro řešení alarmů.</w:t>
      </w:r>
    </w:p>
    <w:p>
      <w:pPr>
        <w:pStyle w:val="BodyText"/>
        <w:spacing w:before="155"/>
        <w:ind w:left="120" w:right="120"/>
        <w:jc w:val="center"/>
      </w:pPr>
      <w:r>
        <w:rPr>
          <w:sz w:val="16"/>
        </w:rPr>
        <w:t>(Tabulka</w:t>
      </w:r>
      <w:r>
        <w:rPr>
          <w:sz w:val="16"/>
        </w:rPr>
        <w:t xml:space="preserve"> 2) </w:t>
      </w:r>
      <w:r>
        <w:rPr>
          <w:sz w:val="16"/>
        </w:rPr>
        <w:t>(</w:t>
      </w:r>
      <w:r>
        <w:rPr>
          <w:sz w:val="16"/>
        </w:rPr>
        <w:t xml:space="preserve">Parametry </w:t>
      </w:r>
      <w:r>
        <w:rPr>
          <w:sz w:val="16"/>
        </w:rPr>
        <w:t xml:space="preserve">související s alarmy </w:t>
      </w:r>
      <w:r>
        <w:rPr>
          <w:sz w:val="16"/>
        </w:rPr>
        <w:t xml:space="preserve">viz </w:t>
      </w:r>
      <w:r>
        <w:rPr>
          <w:sz w:val="16"/>
        </w:rPr>
        <w:t>příloha</w:t>
      </w:r>
      <w:r>
        <w:rPr>
          <w:spacing w:val="-5"/>
          <w:sz w:val="16"/>
        </w:rPr>
        <w:t xml:space="preserve"> 1)</w:t>
      </w:r>
    </w:p>
    <w:p>
      <w:pPr>
        <w:pStyle w:val="BodyText"/>
        <w:spacing w:before="1"/>
        <w:ind w:left="0"/>
        <w:rPr>
          <w:sz w:val="9"/>
        </w:rPr>
      </w:pPr>
    </w:p>
    <w:tbl>
      <w:tblPr>
        <w:tblStyle w:val="TableNormal"/>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9"/>
        <w:gridCol w:w="2277"/>
        <w:gridCol w:w="3467"/>
      </w:tblGrid>
      <w:tr>
        <w:tblPrEx>
          <w:tblW w:w="0" w:type="auto"/>
          <w:tblInd w:w="183" w:type="dxa"/>
          <w:tblLayout w:type="fixed"/>
          <w:tblLook w:val="01E0"/>
        </w:tblPrEx>
        <w:trPr>
          <w:trHeight w:val="397"/>
        </w:trPr>
        <w:tc>
          <w:tcPr>
            <w:tcW w:w="1439" w:type="dxa"/>
            <w:shd w:val="clear" w:color="auto" w:fill="99CCFF"/>
          </w:tcPr>
          <w:p>
            <w:pPr>
              <w:pStyle w:val="TableParagraph"/>
              <w:spacing w:before="99"/>
              <w:ind w:left="5"/>
              <w:jc w:val="center"/>
              <w:rPr>
                <w:b/>
                <w:sz w:val="18"/>
              </w:rPr>
            </w:pPr>
            <w:r>
              <w:rPr>
                <w:b/>
                <w:spacing w:val="-4"/>
                <w:sz w:val="16"/>
              </w:rPr>
              <w:t>Název</w:t>
            </w:r>
          </w:p>
        </w:tc>
        <w:tc>
          <w:tcPr>
            <w:tcW w:w="2277" w:type="dxa"/>
            <w:shd w:val="clear" w:color="auto" w:fill="99CCFF"/>
          </w:tcPr>
          <w:p>
            <w:pPr>
              <w:pStyle w:val="TableParagraph"/>
              <w:spacing w:before="99"/>
              <w:ind w:left="7"/>
              <w:jc w:val="center"/>
              <w:rPr>
                <w:b/>
                <w:sz w:val="18"/>
              </w:rPr>
            </w:pPr>
            <w:r>
              <w:rPr>
                <w:b/>
                <w:spacing w:val="-2"/>
                <w:sz w:val="16"/>
              </w:rPr>
              <w:t xml:space="preserve">Důvod </w:t>
            </w:r>
            <w:r>
              <w:rPr>
                <w:b/>
                <w:sz w:val="16"/>
              </w:rPr>
              <w:t>alarmu</w:t>
            </w:r>
          </w:p>
        </w:tc>
        <w:tc>
          <w:tcPr>
            <w:tcW w:w="3467" w:type="dxa"/>
            <w:shd w:val="clear" w:color="auto" w:fill="99CCFF"/>
          </w:tcPr>
          <w:p>
            <w:pPr>
              <w:pStyle w:val="TableParagraph"/>
              <w:spacing w:before="99"/>
              <w:ind w:left="7"/>
              <w:jc w:val="center"/>
              <w:rPr>
                <w:b/>
                <w:sz w:val="18"/>
              </w:rPr>
            </w:pPr>
            <w:r>
              <w:rPr>
                <w:b/>
                <w:spacing w:val="-2"/>
                <w:sz w:val="16"/>
              </w:rPr>
              <w:t>Řešení</w:t>
            </w:r>
          </w:p>
        </w:tc>
      </w:tr>
      <w:tr>
        <w:tblPrEx>
          <w:tblW w:w="0" w:type="auto"/>
          <w:tblInd w:w="183" w:type="dxa"/>
          <w:tblLayout w:type="fixed"/>
          <w:tblLook w:val="01E0"/>
        </w:tblPrEx>
        <w:trPr>
          <w:trHeight w:val="866"/>
        </w:trPr>
        <w:tc>
          <w:tcPr>
            <w:tcW w:w="1439" w:type="dxa"/>
          </w:tcPr>
          <w:p>
            <w:pPr>
              <w:pStyle w:val="TableParagraph"/>
              <w:spacing w:before="122"/>
              <w:rPr>
                <w:sz w:val="18"/>
              </w:rPr>
            </w:pPr>
          </w:p>
          <w:p>
            <w:pPr>
              <w:pStyle w:val="TableParagraph"/>
              <w:ind w:left="107"/>
              <w:rPr>
                <w:sz w:val="18"/>
              </w:rPr>
            </w:pPr>
            <w:r>
              <w:rPr>
                <w:spacing w:val="-2"/>
                <w:sz w:val="16"/>
              </w:rPr>
              <w:t>Alarm</w:t>
            </w:r>
            <w:r>
              <w:rPr>
                <w:sz w:val="16"/>
              </w:rPr>
              <w:t xml:space="preserve"> selhání </w:t>
            </w:r>
            <w:r>
              <w:rPr>
                <w:sz w:val="16"/>
              </w:rPr>
              <w:t>střídavého proudu</w:t>
            </w:r>
          </w:p>
        </w:tc>
        <w:tc>
          <w:tcPr>
            <w:tcW w:w="2277" w:type="dxa"/>
          </w:tcPr>
          <w:p>
            <w:pPr>
              <w:pStyle w:val="TableParagraph"/>
              <w:spacing w:before="104" w:line="266" w:lineRule="auto"/>
              <w:ind w:left="108" w:right="89"/>
              <w:rPr>
                <w:sz w:val="18"/>
              </w:rPr>
            </w:pPr>
            <w:r>
              <w:rPr>
                <w:sz w:val="16"/>
              </w:rPr>
              <w:t xml:space="preserve">Po zapnutí, pokud </w:t>
            </w:r>
            <w:r>
              <w:rPr>
                <w:sz w:val="16"/>
              </w:rPr>
              <w:t>dojde</w:t>
            </w:r>
            <w:r>
              <w:rPr>
                <w:sz w:val="16"/>
              </w:rPr>
              <w:t xml:space="preserve"> </w:t>
            </w:r>
            <w:r>
              <w:rPr>
                <w:sz w:val="16"/>
              </w:rPr>
              <w:t xml:space="preserve">k vypadnutí </w:t>
            </w:r>
            <w:r>
              <w:rPr>
                <w:sz w:val="16"/>
              </w:rPr>
              <w:t xml:space="preserve">napájecího </w:t>
            </w:r>
            <w:r>
              <w:rPr>
                <w:sz w:val="16"/>
              </w:rPr>
              <w:t xml:space="preserve">kabelu </w:t>
            </w:r>
            <w:r>
              <w:rPr>
                <w:sz w:val="16"/>
              </w:rPr>
              <w:t xml:space="preserve">nebo </w:t>
            </w:r>
            <w:r>
              <w:rPr>
                <w:sz w:val="16"/>
              </w:rPr>
              <w:t>k přerušení napájení.</w:t>
            </w:r>
          </w:p>
        </w:tc>
        <w:tc>
          <w:tcPr>
            <w:tcW w:w="3467" w:type="dxa"/>
          </w:tcPr>
          <w:p>
            <w:pPr>
              <w:pStyle w:val="TableParagraph"/>
              <w:spacing w:before="104" w:line="266" w:lineRule="auto"/>
              <w:ind w:left="108" w:right="111"/>
              <w:rPr>
                <w:sz w:val="18"/>
              </w:rPr>
            </w:pPr>
            <w:r>
              <w:rPr>
                <w:sz w:val="16"/>
              </w:rPr>
              <w:t xml:space="preserve">Stiskněte </w:t>
            </w:r>
            <w:r>
              <w:rPr>
                <w:sz w:val="16"/>
              </w:rPr>
              <w:t xml:space="preserve">tlačítko </w:t>
            </w:r>
            <w:r>
              <w:rPr>
                <w:sz w:val="16"/>
              </w:rPr>
              <w:t xml:space="preserve">„Audio </w:t>
            </w:r>
            <w:r>
              <w:rPr>
                <w:sz w:val="16"/>
              </w:rPr>
              <w:t>Paused“</w:t>
            </w:r>
            <w:r>
              <w:rPr>
                <w:sz w:val="16"/>
              </w:rPr>
              <w:t xml:space="preserve"> (</w:t>
            </w:r>
            <w:r>
              <w:rPr>
                <w:sz w:val="16"/>
              </w:rPr>
              <w:t xml:space="preserve">Pozastavení </w:t>
            </w:r>
            <w:r>
              <w:rPr>
                <w:sz w:val="16"/>
              </w:rPr>
              <w:t>zvuku</w:t>
            </w:r>
            <w:r>
              <w:rPr>
                <w:sz w:val="16"/>
              </w:rPr>
              <w:t>)</w:t>
            </w:r>
            <w:r>
              <w:rPr>
                <w:sz w:val="16"/>
              </w:rPr>
              <w:t xml:space="preserve">, </w:t>
            </w:r>
            <w:r>
              <w:rPr>
                <w:sz w:val="16"/>
              </w:rPr>
              <w:t xml:space="preserve">aby </w:t>
            </w:r>
            <w:r>
              <w:rPr>
                <w:sz w:val="16"/>
              </w:rPr>
              <w:t>se alarm dočasně ztlumil, a poté znovu připojte napájení AC/DC.</w:t>
            </w:r>
          </w:p>
        </w:tc>
      </w:tr>
      <w:tr>
        <w:tblPrEx>
          <w:tblW w:w="0" w:type="auto"/>
          <w:tblInd w:w="183" w:type="dxa"/>
          <w:tblLayout w:type="fixed"/>
          <w:tblLook w:val="01E0"/>
        </w:tblPrEx>
        <w:trPr>
          <w:trHeight w:val="1274"/>
        </w:trPr>
        <w:tc>
          <w:tcPr>
            <w:tcW w:w="1439" w:type="dxa"/>
            <w:vMerge w:val="restart"/>
          </w:tcPr>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spacing w:line="266" w:lineRule="auto"/>
              <w:ind w:left="107" w:right="459"/>
              <w:rPr>
                <w:sz w:val="18"/>
              </w:rPr>
            </w:pPr>
            <w:r>
              <w:rPr>
                <w:spacing w:val="-2"/>
                <w:sz w:val="16"/>
              </w:rPr>
              <w:t xml:space="preserve">Alarm </w:t>
            </w:r>
            <w:r>
              <w:rPr>
                <w:sz w:val="16"/>
              </w:rPr>
              <w:t xml:space="preserve">použití </w:t>
            </w:r>
            <w:r>
              <w:rPr>
                <w:sz w:val="16"/>
              </w:rPr>
              <w:t>baterie</w:t>
            </w:r>
          </w:p>
        </w:tc>
        <w:tc>
          <w:tcPr>
            <w:tcW w:w="2277" w:type="dxa"/>
          </w:tcPr>
          <w:p>
            <w:pPr>
              <w:pStyle w:val="TableParagraph"/>
              <w:rPr>
                <w:sz w:val="18"/>
              </w:rPr>
            </w:pPr>
          </w:p>
          <w:p>
            <w:pPr>
              <w:pStyle w:val="TableParagraph"/>
              <w:spacing w:before="8"/>
              <w:rPr>
                <w:sz w:val="18"/>
              </w:rPr>
            </w:pPr>
          </w:p>
          <w:p>
            <w:pPr>
              <w:pStyle w:val="TableParagraph"/>
              <w:spacing w:line="266" w:lineRule="auto"/>
              <w:ind w:left="108" w:right="89"/>
              <w:rPr>
                <w:sz w:val="18"/>
              </w:rPr>
            </w:pPr>
            <w:r>
              <w:rPr>
                <w:sz w:val="16"/>
              </w:rPr>
              <w:t xml:space="preserve">1. </w:t>
            </w:r>
            <w:r>
              <w:rPr>
                <w:sz w:val="16"/>
              </w:rPr>
              <w:t xml:space="preserve">Pokud </w:t>
            </w:r>
            <w:r>
              <w:rPr>
                <w:sz w:val="16"/>
              </w:rPr>
              <w:t xml:space="preserve">není </w:t>
            </w:r>
            <w:r>
              <w:rPr>
                <w:sz w:val="16"/>
              </w:rPr>
              <w:t xml:space="preserve">injekční </w:t>
            </w:r>
            <w:r>
              <w:rPr>
                <w:sz w:val="16"/>
              </w:rPr>
              <w:t xml:space="preserve">pumpa </w:t>
            </w:r>
            <w:r>
              <w:rPr>
                <w:sz w:val="16"/>
              </w:rPr>
              <w:t xml:space="preserve">připojena </w:t>
            </w:r>
            <w:r>
              <w:rPr>
                <w:sz w:val="16"/>
              </w:rPr>
              <w:t xml:space="preserve">k </w:t>
            </w:r>
            <w:r>
              <w:rPr>
                <w:spacing w:val="-4"/>
                <w:sz w:val="16"/>
              </w:rPr>
              <w:t xml:space="preserve">napájení </w:t>
            </w:r>
            <w:r>
              <w:rPr>
                <w:sz w:val="16"/>
              </w:rPr>
              <w:t>AC/DC</w:t>
            </w:r>
          </w:p>
        </w:tc>
        <w:tc>
          <w:tcPr>
            <w:tcW w:w="3467" w:type="dxa"/>
          </w:tcPr>
          <w:p>
            <w:pPr>
              <w:pStyle w:val="TableParagraph"/>
              <w:spacing w:before="76" w:line="266" w:lineRule="auto"/>
              <w:ind w:left="108" w:right="135"/>
              <w:rPr>
                <w:sz w:val="18"/>
              </w:rPr>
            </w:pPr>
            <w:r>
              <w:rPr>
                <w:sz w:val="16"/>
              </w:rPr>
              <w:t xml:space="preserve">Stiskněte </w:t>
            </w:r>
            <w:r>
              <w:rPr>
                <w:sz w:val="16"/>
              </w:rPr>
              <w:t xml:space="preserve">tlačítko „Audio </w:t>
            </w:r>
            <w:r>
              <w:rPr>
                <w:sz w:val="16"/>
              </w:rPr>
              <w:t>Paused“ (</w:t>
            </w:r>
            <w:r>
              <w:rPr>
                <w:sz w:val="16"/>
              </w:rPr>
              <w:t xml:space="preserve">Zvuk </w:t>
            </w:r>
            <w:r>
              <w:rPr>
                <w:sz w:val="16"/>
              </w:rPr>
              <w:t xml:space="preserve">pozastaven), </w:t>
            </w:r>
            <w:r>
              <w:rPr>
                <w:sz w:val="16"/>
              </w:rPr>
              <w:t xml:space="preserve">abyste </w:t>
            </w:r>
            <w:r>
              <w:rPr>
                <w:sz w:val="16"/>
              </w:rPr>
              <w:t xml:space="preserve">dočasně </w:t>
            </w:r>
            <w:r>
              <w:rPr>
                <w:sz w:val="16"/>
              </w:rPr>
              <w:t xml:space="preserve">ztlumili </w:t>
            </w:r>
            <w:r>
              <w:rPr>
                <w:sz w:val="16"/>
              </w:rPr>
              <w:t xml:space="preserve">zvuk </w:t>
            </w:r>
            <w:r>
              <w:rPr>
                <w:sz w:val="16"/>
              </w:rPr>
              <w:t>alarmu</w:t>
            </w:r>
            <w:r>
              <w:rPr>
                <w:sz w:val="16"/>
              </w:rPr>
              <w:t xml:space="preserve">; </w:t>
            </w:r>
            <w:r>
              <w:rPr>
                <w:sz w:val="16"/>
              </w:rPr>
              <w:t xml:space="preserve">připojením </w:t>
            </w:r>
            <w:r>
              <w:rPr>
                <w:sz w:val="16"/>
              </w:rPr>
              <w:t xml:space="preserve">napájecího </w:t>
            </w:r>
            <w:r>
              <w:rPr>
                <w:sz w:val="16"/>
              </w:rPr>
              <w:t xml:space="preserve">kabelu alarm zmizí. Zkontrolujte, zda je napájecí kabel </w:t>
            </w:r>
            <w:r>
              <w:rPr>
                <w:spacing w:val="-2"/>
                <w:sz w:val="16"/>
              </w:rPr>
              <w:t>správně</w:t>
            </w:r>
            <w:r>
              <w:rPr>
                <w:sz w:val="16"/>
              </w:rPr>
              <w:t xml:space="preserve"> zapojen a zajištěn</w:t>
            </w:r>
            <w:r>
              <w:rPr>
                <w:spacing w:val="-2"/>
                <w:sz w:val="16"/>
              </w:rPr>
              <w:t>.</w:t>
            </w:r>
          </w:p>
        </w:tc>
      </w:tr>
      <w:tr>
        <w:tblPrEx>
          <w:tblW w:w="0" w:type="auto"/>
          <w:tblInd w:w="183" w:type="dxa"/>
          <w:tblLayout w:type="fixed"/>
          <w:tblLook w:val="01E0"/>
        </w:tblPrEx>
        <w:trPr>
          <w:trHeight w:val="813"/>
        </w:trPr>
        <w:tc>
          <w:tcPr>
            <w:tcW w:w="1439" w:type="dxa"/>
            <w:vMerge/>
            <w:tcBorders>
              <w:top w:val="nil"/>
            </w:tcBorders>
          </w:tcPr>
          <w:p>
            <w:pPr>
              <w:rPr>
                <w:sz w:val="2"/>
                <w:szCs w:val="2"/>
              </w:rPr>
            </w:pPr>
          </w:p>
        </w:tc>
        <w:tc>
          <w:tcPr>
            <w:tcW w:w="2277" w:type="dxa"/>
          </w:tcPr>
          <w:p>
            <w:pPr>
              <w:pStyle w:val="TableParagraph"/>
              <w:spacing w:before="76" w:line="266" w:lineRule="auto"/>
              <w:ind w:left="108" w:right="302"/>
              <w:jc w:val="both"/>
              <w:rPr>
                <w:sz w:val="18"/>
              </w:rPr>
            </w:pPr>
            <w:r>
              <w:rPr>
                <w:sz w:val="16"/>
              </w:rPr>
              <w:t xml:space="preserve">2. </w:t>
            </w:r>
            <w:r>
              <w:rPr>
                <w:sz w:val="16"/>
              </w:rPr>
              <w:t xml:space="preserve">Pokud </w:t>
            </w:r>
            <w:r>
              <w:rPr>
                <w:sz w:val="16"/>
              </w:rPr>
              <w:t xml:space="preserve">je </w:t>
            </w:r>
            <w:r>
              <w:rPr>
                <w:sz w:val="16"/>
              </w:rPr>
              <w:t xml:space="preserve">problém </w:t>
            </w:r>
            <w:r>
              <w:rPr>
                <w:sz w:val="16"/>
              </w:rPr>
              <w:t xml:space="preserve">s </w:t>
            </w:r>
            <w:r>
              <w:rPr>
                <w:sz w:val="16"/>
              </w:rPr>
              <w:t xml:space="preserve">napájecím </w:t>
            </w:r>
            <w:r>
              <w:rPr>
                <w:spacing w:val="-2"/>
                <w:sz w:val="16"/>
              </w:rPr>
              <w:t xml:space="preserve">obvodem </w:t>
            </w:r>
            <w:r>
              <w:rPr>
                <w:sz w:val="16"/>
              </w:rPr>
              <w:t xml:space="preserve">injekční </w:t>
            </w:r>
            <w:r>
              <w:rPr>
                <w:sz w:val="16"/>
              </w:rPr>
              <w:t>pumpy</w:t>
            </w:r>
          </w:p>
        </w:tc>
        <w:tc>
          <w:tcPr>
            <w:tcW w:w="3467" w:type="dxa"/>
          </w:tcPr>
          <w:p>
            <w:pPr>
              <w:pStyle w:val="TableParagraph"/>
              <w:spacing w:before="191" w:line="266" w:lineRule="auto"/>
              <w:ind w:left="108" w:right="111"/>
              <w:rPr>
                <w:sz w:val="18"/>
              </w:rPr>
            </w:pPr>
            <w:r>
              <w:rPr>
                <w:sz w:val="16"/>
              </w:rPr>
              <w:t xml:space="preserve">Obraťte se </w:t>
            </w:r>
            <w:r>
              <w:rPr>
                <w:sz w:val="16"/>
              </w:rPr>
              <w:t xml:space="preserve">na </w:t>
            </w:r>
            <w:r>
              <w:rPr>
                <w:sz w:val="16"/>
              </w:rPr>
              <w:t xml:space="preserve">výrobce, </w:t>
            </w:r>
            <w:r>
              <w:rPr>
                <w:sz w:val="16"/>
              </w:rPr>
              <w:t xml:space="preserve">aby provedl </w:t>
            </w:r>
            <w:r>
              <w:rPr>
                <w:sz w:val="16"/>
              </w:rPr>
              <w:t xml:space="preserve">kontrolu </w:t>
            </w:r>
            <w:r>
              <w:rPr>
                <w:sz w:val="16"/>
              </w:rPr>
              <w:t xml:space="preserve">a </w:t>
            </w:r>
            <w:r>
              <w:rPr>
                <w:spacing w:val="-2"/>
                <w:sz w:val="16"/>
              </w:rPr>
              <w:t>opravu.</w:t>
            </w:r>
          </w:p>
        </w:tc>
      </w:tr>
      <w:tr>
        <w:tblPrEx>
          <w:tblW w:w="0" w:type="auto"/>
          <w:tblInd w:w="183" w:type="dxa"/>
          <w:tblLayout w:type="fixed"/>
          <w:tblLook w:val="01E0"/>
        </w:tblPrEx>
        <w:trPr>
          <w:trHeight w:val="583"/>
        </w:trPr>
        <w:tc>
          <w:tcPr>
            <w:tcW w:w="1439" w:type="dxa"/>
          </w:tcPr>
          <w:p>
            <w:pPr>
              <w:pStyle w:val="TableParagraph"/>
              <w:spacing w:before="78" w:line="264" w:lineRule="auto"/>
              <w:ind w:left="107" w:right="389"/>
              <w:rPr>
                <w:sz w:val="18"/>
              </w:rPr>
            </w:pPr>
            <w:r>
              <w:rPr>
                <w:spacing w:val="-2"/>
                <w:sz w:val="16"/>
              </w:rPr>
              <w:t>Alarm</w:t>
            </w:r>
            <w:r>
              <w:rPr>
                <w:sz w:val="16"/>
              </w:rPr>
              <w:t xml:space="preserve"> konce </w:t>
            </w:r>
            <w:r>
              <w:rPr>
                <w:sz w:val="16"/>
              </w:rPr>
              <w:t>pohotovostního režimu</w:t>
            </w:r>
          </w:p>
        </w:tc>
        <w:tc>
          <w:tcPr>
            <w:tcW w:w="2277" w:type="dxa"/>
          </w:tcPr>
          <w:p>
            <w:pPr>
              <w:pStyle w:val="TableParagraph"/>
              <w:spacing w:before="78" w:line="264" w:lineRule="auto"/>
              <w:ind w:left="108" w:right="89"/>
              <w:rPr>
                <w:sz w:val="18"/>
              </w:rPr>
            </w:pPr>
            <w:r>
              <w:rPr>
                <w:sz w:val="16"/>
              </w:rPr>
              <w:t xml:space="preserve">Doba </w:t>
            </w:r>
            <w:r>
              <w:rPr>
                <w:sz w:val="16"/>
              </w:rPr>
              <w:t xml:space="preserve">pohotovostního </w:t>
            </w:r>
            <w:r>
              <w:rPr>
                <w:sz w:val="16"/>
              </w:rPr>
              <w:t xml:space="preserve">režimu </w:t>
            </w:r>
            <w:r>
              <w:rPr>
                <w:spacing w:val="-2"/>
                <w:sz w:val="16"/>
              </w:rPr>
              <w:t>uplynula.</w:t>
            </w:r>
          </w:p>
        </w:tc>
        <w:tc>
          <w:tcPr>
            <w:tcW w:w="3467" w:type="dxa"/>
          </w:tcPr>
          <w:p>
            <w:pPr>
              <w:pStyle w:val="TableParagraph"/>
              <w:spacing w:before="78" w:line="264" w:lineRule="auto"/>
              <w:ind w:left="108" w:right="111"/>
              <w:rPr>
                <w:sz w:val="18"/>
              </w:rPr>
            </w:pPr>
            <w:r>
              <w:rPr>
                <w:sz w:val="16"/>
              </w:rPr>
              <w:t xml:space="preserve">Stisknutím </w:t>
            </w:r>
            <w:r>
              <w:rPr>
                <w:sz w:val="16"/>
              </w:rPr>
              <w:t xml:space="preserve">tlačítka </w:t>
            </w:r>
            <w:r>
              <w:rPr>
                <w:sz w:val="16"/>
              </w:rPr>
              <w:t xml:space="preserve">„Alarm </w:t>
            </w:r>
            <w:r>
              <w:rPr>
                <w:sz w:val="16"/>
              </w:rPr>
              <w:t xml:space="preserve">Reset/Clear“ (Resetování/vymazání alarmu) </w:t>
            </w:r>
            <w:r>
              <w:rPr>
                <w:sz w:val="16"/>
              </w:rPr>
              <w:t>alarm vypnete.</w:t>
            </w:r>
          </w:p>
        </w:tc>
      </w:tr>
      <w:tr>
        <w:tblPrEx>
          <w:tblW w:w="0" w:type="auto"/>
          <w:tblInd w:w="183" w:type="dxa"/>
          <w:tblLayout w:type="fixed"/>
          <w:tblLook w:val="01E0"/>
        </w:tblPrEx>
        <w:trPr>
          <w:trHeight w:val="583"/>
        </w:trPr>
        <w:tc>
          <w:tcPr>
            <w:tcW w:w="1439" w:type="dxa"/>
          </w:tcPr>
          <w:p>
            <w:pPr>
              <w:pStyle w:val="TableParagraph"/>
              <w:spacing w:before="77" w:line="266" w:lineRule="auto"/>
              <w:ind w:left="107" w:right="329"/>
              <w:rPr>
                <w:sz w:val="18"/>
              </w:rPr>
            </w:pPr>
            <w:r>
              <w:rPr>
                <w:spacing w:val="-2"/>
                <w:sz w:val="16"/>
              </w:rPr>
              <w:t>Alarm</w:t>
            </w:r>
            <w:r>
              <w:rPr>
                <w:sz w:val="16"/>
              </w:rPr>
              <w:t xml:space="preserve"> chyby </w:t>
            </w:r>
            <w:r>
              <w:rPr>
                <w:sz w:val="16"/>
              </w:rPr>
              <w:t>injekční stříkačky</w:t>
            </w:r>
          </w:p>
        </w:tc>
        <w:tc>
          <w:tcPr>
            <w:tcW w:w="2277" w:type="dxa"/>
          </w:tcPr>
          <w:p>
            <w:pPr>
              <w:pStyle w:val="TableParagraph"/>
              <w:spacing w:before="77" w:line="266" w:lineRule="auto"/>
              <w:ind w:left="108" w:right="89"/>
              <w:rPr>
                <w:sz w:val="18"/>
              </w:rPr>
            </w:pPr>
            <w:r>
              <w:rPr>
                <w:sz w:val="16"/>
              </w:rPr>
              <w:t xml:space="preserve">Specializovaná </w:t>
            </w:r>
            <w:r>
              <w:rPr>
                <w:sz w:val="16"/>
              </w:rPr>
              <w:t xml:space="preserve">trubice </w:t>
            </w:r>
            <w:r>
              <w:rPr>
                <w:sz w:val="16"/>
              </w:rPr>
              <w:t xml:space="preserve">není </w:t>
            </w:r>
            <w:r>
              <w:rPr>
                <w:spacing w:val="-2"/>
                <w:sz w:val="16"/>
              </w:rPr>
              <w:t>nainstalována.</w:t>
            </w:r>
          </w:p>
        </w:tc>
        <w:tc>
          <w:tcPr>
            <w:tcW w:w="3467" w:type="dxa"/>
          </w:tcPr>
          <w:p>
            <w:pPr>
              <w:pStyle w:val="TableParagraph"/>
              <w:spacing w:before="192"/>
              <w:ind w:left="108"/>
              <w:rPr>
                <w:sz w:val="18"/>
              </w:rPr>
            </w:pPr>
            <w:r>
              <w:rPr>
                <w:sz w:val="16"/>
              </w:rPr>
              <w:t xml:space="preserve">Obraťte se na </w:t>
            </w:r>
            <w:r>
              <w:rPr>
                <w:sz w:val="16"/>
              </w:rPr>
              <w:t xml:space="preserve">prodejce </w:t>
            </w:r>
            <w:r>
              <w:rPr>
                <w:sz w:val="16"/>
              </w:rPr>
              <w:t xml:space="preserve">nebo </w:t>
            </w:r>
            <w:r>
              <w:rPr>
                <w:spacing w:val="-2"/>
                <w:sz w:val="16"/>
              </w:rPr>
              <w:t>výrobce.</w:t>
            </w:r>
          </w:p>
        </w:tc>
      </w:tr>
      <w:tr>
        <w:tblPrEx>
          <w:tblW w:w="0" w:type="auto"/>
          <w:tblInd w:w="183" w:type="dxa"/>
          <w:tblLayout w:type="fixed"/>
          <w:tblLook w:val="01E0"/>
        </w:tblPrEx>
        <w:trPr>
          <w:trHeight w:val="584"/>
        </w:trPr>
        <w:tc>
          <w:tcPr>
            <w:tcW w:w="1439" w:type="dxa"/>
          </w:tcPr>
          <w:p>
            <w:pPr>
              <w:pStyle w:val="TableParagraph"/>
              <w:spacing w:before="73" w:line="266" w:lineRule="auto"/>
              <w:ind w:left="107" w:right="499"/>
              <w:rPr>
                <w:sz w:val="18"/>
              </w:rPr>
            </w:pPr>
            <w:r>
              <w:rPr>
                <w:spacing w:val="-2"/>
                <w:sz w:val="16"/>
              </w:rPr>
              <w:t>Alarm</w:t>
            </w:r>
            <w:r>
              <w:rPr>
                <w:sz w:val="16"/>
              </w:rPr>
              <w:t xml:space="preserve"> selhání </w:t>
            </w:r>
            <w:r>
              <w:rPr>
                <w:sz w:val="16"/>
              </w:rPr>
              <w:t>baterie</w:t>
            </w:r>
          </w:p>
        </w:tc>
        <w:tc>
          <w:tcPr>
            <w:tcW w:w="2277" w:type="dxa"/>
          </w:tcPr>
          <w:p>
            <w:pPr>
              <w:pStyle w:val="TableParagraph"/>
              <w:spacing w:before="191"/>
              <w:ind w:left="7" w:right="2"/>
              <w:jc w:val="center"/>
              <w:rPr>
                <w:sz w:val="18"/>
              </w:rPr>
            </w:pPr>
            <w:r>
              <w:rPr>
                <w:sz w:val="16"/>
              </w:rPr>
              <w:t xml:space="preserve">Záložní </w:t>
            </w:r>
            <w:r>
              <w:rPr>
                <w:sz w:val="16"/>
              </w:rPr>
              <w:t xml:space="preserve">baterie </w:t>
            </w:r>
            <w:r>
              <w:rPr>
                <w:sz w:val="16"/>
              </w:rPr>
              <w:t xml:space="preserve">je </w:t>
            </w:r>
            <w:r>
              <w:rPr>
                <w:spacing w:val="-2"/>
                <w:sz w:val="16"/>
              </w:rPr>
              <w:t>vadná.</w:t>
            </w:r>
          </w:p>
        </w:tc>
        <w:tc>
          <w:tcPr>
            <w:tcW w:w="3467" w:type="dxa"/>
          </w:tcPr>
          <w:p>
            <w:pPr>
              <w:pStyle w:val="TableParagraph"/>
              <w:spacing w:before="78" w:line="264" w:lineRule="auto"/>
              <w:ind w:left="108" w:right="111"/>
              <w:rPr>
                <w:sz w:val="18"/>
              </w:rPr>
            </w:pPr>
            <w:r>
              <w:rPr>
                <w:sz w:val="16"/>
              </w:rPr>
              <w:t xml:space="preserve">Obraťte </w:t>
            </w:r>
            <w:r>
              <w:rPr>
                <w:sz w:val="16"/>
              </w:rPr>
              <w:t>se</w:t>
            </w:r>
            <w:r>
              <w:rPr>
                <w:sz w:val="16"/>
              </w:rPr>
              <w:t xml:space="preserve"> </w:t>
            </w:r>
            <w:r>
              <w:rPr>
                <w:sz w:val="16"/>
              </w:rPr>
              <w:t xml:space="preserve">na </w:t>
            </w:r>
            <w:r>
              <w:rPr>
                <w:sz w:val="16"/>
              </w:rPr>
              <w:t xml:space="preserve">prodejce </w:t>
            </w:r>
            <w:r>
              <w:rPr>
                <w:sz w:val="16"/>
              </w:rPr>
              <w:t xml:space="preserve">nebo </w:t>
            </w:r>
            <w:r>
              <w:rPr>
                <w:sz w:val="16"/>
              </w:rPr>
              <w:t>výrobce</w:t>
            </w:r>
            <w:r>
              <w:rPr>
                <w:spacing w:val="-2"/>
                <w:sz w:val="16"/>
              </w:rPr>
              <w:t>.</w:t>
            </w:r>
          </w:p>
        </w:tc>
      </w:tr>
      <w:tr>
        <w:tblPrEx>
          <w:tblW w:w="0" w:type="auto"/>
          <w:tblInd w:w="183" w:type="dxa"/>
          <w:tblLayout w:type="fixed"/>
          <w:tblLook w:val="01E0"/>
        </w:tblPrEx>
        <w:trPr>
          <w:trHeight w:val="1503"/>
        </w:trPr>
        <w:tc>
          <w:tcPr>
            <w:tcW w:w="1439" w:type="dxa"/>
          </w:tcPr>
          <w:p>
            <w:pPr>
              <w:pStyle w:val="TableParagraph"/>
              <w:rPr>
                <w:sz w:val="18"/>
              </w:rPr>
            </w:pPr>
          </w:p>
          <w:p>
            <w:pPr>
              <w:pStyle w:val="TableParagraph"/>
              <w:spacing w:before="118"/>
              <w:rPr>
                <w:sz w:val="18"/>
              </w:rPr>
            </w:pPr>
          </w:p>
          <w:p>
            <w:pPr>
              <w:pStyle w:val="TableParagraph"/>
              <w:spacing w:before="1" w:line="266" w:lineRule="auto"/>
              <w:ind w:left="107"/>
              <w:rPr>
                <w:sz w:val="18"/>
              </w:rPr>
            </w:pPr>
            <w:r>
              <w:rPr>
                <w:spacing w:val="-2"/>
                <w:sz w:val="16"/>
              </w:rPr>
              <w:t>Alarm automatického vypnutí</w:t>
            </w:r>
          </w:p>
        </w:tc>
        <w:tc>
          <w:tcPr>
            <w:tcW w:w="2277" w:type="dxa"/>
          </w:tcPr>
          <w:p>
            <w:pPr>
              <w:pStyle w:val="TableParagraph"/>
              <w:spacing w:before="100"/>
              <w:rPr>
                <w:sz w:val="18"/>
              </w:rPr>
            </w:pPr>
          </w:p>
          <w:p>
            <w:pPr>
              <w:pStyle w:val="TableParagraph"/>
              <w:spacing w:line="266" w:lineRule="auto"/>
              <w:ind w:left="108" w:right="89"/>
              <w:rPr>
                <w:sz w:val="18"/>
              </w:rPr>
            </w:pPr>
            <w:r>
              <w:rPr>
                <w:sz w:val="16"/>
              </w:rPr>
              <w:t xml:space="preserve">Když je injekční pumpa neaktivní a odpočítávací </w:t>
            </w:r>
            <w:r>
              <w:rPr>
                <w:sz w:val="16"/>
              </w:rPr>
              <w:t xml:space="preserve">časovač </w:t>
            </w:r>
            <w:r>
              <w:rPr>
                <w:sz w:val="16"/>
              </w:rPr>
              <w:t xml:space="preserve">má </w:t>
            </w:r>
            <w:r>
              <w:rPr>
                <w:sz w:val="16"/>
              </w:rPr>
              <w:t xml:space="preserve">zbývající </w:t>
            </w:r>
            <w:r>
              <w:rPr>
                <w:sz w:val="16"/>
              </w:rPr>
              <w:t>čas 2 minuty.</w:t>
            </w:r>
          </w:p>
        </w:tc>
        <w:tc>
          <w:tcPr>
            <w:tcW w:w="3467" w:type="dxa"/>
          </w:tcPr>
          <w:p>
            <w:pPr>
              <w:pStyle w:val="TableParagraph"/>
              <w:spacing w:before="77" w:line="266" w:lineRule="auto"/>
              <w:ind w:left="108" w:right="111"/>
              <w:rPr>
                <w:sz w:val="18"/>
              </w:rPr>
            </w:pPr>
            <w:r>
              <w:rPr>
                <w:sz w:val="16"/>
              </w:rPr>
              <w:t xml:space="preserve">Pokud je nastavený čas delší než 2 minuty, stisknutím </w:t>
            </w:r>
            <w:r>
              <w:rPr>
                <w:sz w:val="16"/>
              </w:rPr>
              <w:t xml:space="preserve">libovolného </w:t>
            </w:r>
            <w:r>
              <w:rPr>
                <w:sz w:val="16"/>
              </w:rPr>
              <w:t xml:space="preserve">tlačítka </w:t>
            </w:r>
            <w:r>
              <w:rPr>
                <w:sz w:val="16"/>
              </w:rPr>
              <w:t xml:space="preserve">alarm </w:t>
            </w:r>
            <w:r>
              <w:rPr>
                <w:sz w:val="16"/>
              </w:rPr>
              <w:t>zrušíte</w:t>
            </w:r>
            <w:r>
              <w:rPr>
                <w:sz w:val="16"/>
              </w:rPr>
              <w:t xml:space="preserve">. </w:t>
            </w:r>
            <w:r>
              <w:rPr>
                <w:sz w:val="16"/>
              </w:rPr>
              <w:t>Pokud je nastavený čas rovný 2 minutám, alarm nelze zrušit, pokud není vypnuta funkce časovaného vypnutí nebo pokud není nastavený čas prodloužen na více než 3 minuty.</w:t>
            </w:r>
          </w:p>
        </w:tc>
      </w:tr>
      <w:tr>
        <w:tblPrEx>
          <w:tblW w:w="0" w:type="auto"/>
          <w:tblInd w:w="183" w:type="dxa"/>
          <w:tblLayout w:type="fixed"/>
          <w:tblLook w:val="01E0"/>
        </w:tblPrEx>
        <w:trPr>
          <w:trHeight w:val="851"/>
        </w:trPr>
        <w:tc>
          <w:tcPr>
            <w:tcW w:w="1439" w:type="dxa"/>
          </w:tcPr>
          <w:p>
            <w:pPr>
              <w:pStyle w:val="TableParagraph"/>
              <w:spacing w:before="207" w:line="266" w:lineRule="auto"/>
              <w:ind w:left="107"/>
              <w:rPr>
                <w:sz w:val="18"/>
              </w:rPr>
            </w:pPr>
            <w:r>
              <w:rPr>
                <w:spacing w:val="-2"/>
                <w:sz w:val="16"/>
              </w:rPr>
              <w:t>Alarm před ucpáním</w:t>
            </w:r>
          </w:p>
        </w:tc>
        <w:tc>
          <w:tcPr>
            <w:tcW w:w="2277" w:type="dxa"/>
          </w:tcPr>
          <w:p>
            <w:pPr>
              <w:pStyle w:val="TableParagraph"/>
              <w:spacing w:before="96" w:line="266" w:lineRule="auto"/>
              <w:ind w:left="108" w:right="89"/>
              <w:rPr>
                <w:sz w:val="18"/>
              </w:rPr>
            </w:pPr>
            <w:r>
              <w:rPr>
                <w:sz w:val="16"/>
              </w:rPr>
              <w:t xml:space="preserve">Když tlak téměř dosáhne </w:t>
            </w:r>
            <w:r>
              <w:rPr>
                <w:spacing w:val="-2"/>
                <w:sz w:val="16"/>
              </w:rPr>
              <w:t>prahové hodnoty</w:t>
            </w:r>
            <w:r>
              <w:rPr>
                <w:sz w:val="16"/>
              </w:rPr>
              <w:t xml:space="preserve"> alarmu </w:t>
            </w:r>
            <w:r>
              <w:rPr>
                <w:sz w:val="16"/>
              </w:rPr>
              <w:t>ucpání</w:t>
            </w:r>
            <w:r>
              <w:rPr>
                <w:spacing w:val="-2"/>
                <w:sz w:val="16"/>
              </w:rPr>
              <w:t>.</w:t>
            </w:r>
          </w:p>
        </w:tc>
        <w:tc>
          <w:tcPr>
            <w:tcW w:w="3467" w:type="dxa"/>
          </w:tcPr>
          <w:p>
            <w:pPr>
              <w:pStyle w:val="TableParagraph"/>
              <w:spacing w:before="96" w:line="266" w:lineRule="auto"/>
              <w:ind w:left="108" w:right="111"/>
              <w:rPr>
                <w:sz w:val="18"/>
              </w:rPr>
            </w:pPr>
            <w:r>
              <w:rPr>
                <w:sz w:val="16"/>
              </w:rPr>
              <w:t xml:space="preserve">Stisknutím </w:t>
            </w:r>
            <w:r>
              <w:rPr>
                <w:sz w:val="16"/>
              </w:rPr>
              <w:t xml:space="preserve">tlačítka </w:t>
            </w:r>
            <w:r>
              <w:rPr>
                <w:sz w:val="16"/>
              </w:rPr>
              <w:t xml:space="preserve">„Audio </w:t>
            </w:r>
            <w:r>
              <w:rPr>
                <w:sz w:val="16"/>
              </w:rPr>
              <w:t>Paused“ (</w:t>
            </w:r>
            <w:r>
              <w:rPr>
                <w:sz w:val="16"/>
              </w:rPr>
              <w:t xml:space="preserve">Zvuk </w:t>
            </w:r>
            <w:r>
              <w:rPr>
                <w:sz w:val="16"/>
              </w:rPr>
              <w:t xml:space="preserve">pozastaven) </w:t>
            </w:r>
            <w:r>
              <w:rPr>
                <w:sz w:val="16"/>
              </w:rPr>
              <w:t>dočasně ztlumíte zvuk alarmu, poté zkontrolujte příčinu blokády a vyřešte ji.</w:t>
            </w:r>
          </w:p>
        </w:tc>
      </w:tr>
      <w:tr>
        <w:tblPrEx>
          <w:tblW w:w="0" w:type="auto"/>
          <w:tblInd w:w="183" w:type="dxa"/>
          <w:tblLayout w:type="fixed"/>
          <w:tblLook w:val="01E0"/>
        </w:tblPrEx>
        <w:trPr>
          <w:trHeight w:val="1272"/>
        </w:trPr>
        <w:tc>
          <w:tcPr>
            <w:tcW w:w="1439" w:type="dxa"/>
          </w:tcPr>
          <w:p>
            <w:pPr>
              <w:pStyle w:val="TableParagraph"/>
              <w:rPr>
                <w:sz w:val="18"/>
              </w:rPr>
            </w:pPr>
          </w:p>
          <w:p>
            <w:pPr>
              <w:pStyle w:val="TableParagraph"/>
              <w:spacing w:before="3"/>
              <w:rPr>
                <w:sz w:val="18"/>
              </w:rPr>
            </w:pPr>
          </w:p>
          <w:p>
            <w:pPr>
              <w:pStyle w:val="TableParagraph"/>
              <w:spacing w:line="266" w:lineRule="auto"/>
              <w:ind w:left="107" w:right="479"/>
              <w:rPr>
                <w:sz w:val="18"/>
              </w:rPr>
            </w:pPr>
            <w:r>
              <w:rPr>
                <w:spacing w:val="-2"/>
                <w:sz w:val="16"/>
              </w:rPr>
              <w:t xml:space="preserve">Alarm </w:t>
            </w:r>
            <w:r>
              <w:rPr>
                <w:sz w:val="16"/>
              </w:rPr>
              <w:t>ne</w:t>
            </w:r>
            <w:r>
              <w:rPr>
                <w:spacing w:val="-12"/>
                <w:sz w:val="16"/>
              </w:rPr>
              <w:t>funkč</w:t>
            </w:r>
            <w:r>
              <w:rPr>
                <w:sz w:val="16"/>
              </w:rPr>
              <w:t>nosti</w:t>
            </w:r>
          </w:p>
        </w:tc>
        <w:tc>
          <w:tcPr>
            <w:tcW w:w="2277" w:type="dxa"/>
          </w:tcPr>
          <w:p>
            <w:pPr>
              <w:pStyle w:val="TableParagraph"/>
              <w:spacing w:before="77" w:line="266" w:lineRule="auto"/>
              <w:ind w:left="108" w:right="227"/>
              <w:rPr>
                <w:sz w:val="18"/>
              </w:rPr>
            </w:pPr>
            <w:r>
              <w:rPr>
                <w:sz w:val="16"/>
              </w:rPr>
              <w:t xml:space="preserve">Když </w:t>
            </w:r>
            <w:r>
              <w:rPr>
                <w:sz w:val="16"/>
              </w:rPr>
              <w:t xml:space="preserve">je </w:t>
            </w:r>
            <w:r>
              <w:rPr>
                <w:sz w:val="16"/>
              </w:rPr>
              <w:t xml:space="preserve">injekční </w:t>
            </w:r>
            <w:r>
              <w:rPr>
                <w:sz w:val="16"/>
              </w:rPr>
              <w:t xml:space="preserve">pumpa </w:t>
            </w:r>
            <w:r>
              <w:rPr>
                <w:sz w:val="16"/>
              </w:rPr>
              <w:t>zapnutá</w:t>
            </w:r>
            <w:r>
              <w:rPr>
                <w:sz w:val="16"/>
              </w:rPr>
              <w:t xml:space="preserve">, </w:t>
            </w:r>
            <w:r>
              <w:rPr>
                <w:sz w:val="16"/>
              </w:rPr>
              <w:t xml:space="preserve">ale </w:t>
            </w:r>
            <w:r>
              <w:rPr>
                <w:sz w:val="16"/>
              </w:rPr>
              <w:t xml:space="preserve">není </w:t>
            </w:r>
            <w:r>
              <w:rPr>
                <w:sz w:val="16"/>
              </w:rPr>
              <w:t xml:space="preserve">používána </w:t>
            </w:r>
            <w:r>
              <w:rPr>
                <w:sz w:val="16"/>
              </w:rPr>
              <w:t>ani není ve stavu alarmu a během nastaveného času nebylo stisknuto žádné tlačítko.</w:t>
            </w:r>
          </w:p>
        </w:tc>
        <w:tc>
          <w:tcPr>
            <w:tcW w:w="3467" w:type="dxa"/>
          </w:tcPr>
          <w:p>
            <w:pPr>
              <w:pStyle w:val="TableParagraph"/>
              <w:spacing w:before="100"/>
              <w:rPr>
                <w:sz w:val="18"/>
              </w:rPr>
            </w:pPr>
          </w:p>
          <w:p>
            <w:pPr>
              <w:pStyle w:val="TableParagraph"/>
              <w:spacing w:line="266" w:lineRule="auto"/>
              <w:ind w:left="108" w:right="111"/>
              <w:rPr>
                <w:sz w:val="18"/>
              </w:rPr>
            </w:pPr>
            <w:r>
              <w:rPr>
                <w:sz w:val="16"/>
              </w:rPr>
              <w:t xml:space="preserve">Stiskněte </w:t>
            </w:r>
            <w:r>
              <w:rPr>
                <w:sz w:val="16"/>
              </w:rPr>
              <w:t xml:space="preserve">tlačítko </w:t>
            </w:r>
            <w:r>
              <w:rPr>
                <w:sz w:val="16"/>
              </w:rPr>
              <w:t xml:space="preserve">„Audio </w:t>
            </w:r>
            <w:r>
              <w:rPr>
                <w:sz w:val="16"/>
              </w:rPr>
              <w:t>Paused“ (</w:t>
            </w:r>
            <w:r>
              <w:rPr>
                <w:sz w:val="16"/>
              </w:rPr>
              <w:t xml:space="preserve">Zvuk </w:t>
            </w:r>
            <w:r>
              <w:rPr>
                <w:sz w:val="16"/>
              </w:rPr>
              <w:t>pozastaven)</w:t>
            </w:r>
            <w:r>
              <w:rPr>
                <w:sz w:val="16"/>
              </w:rPr>
              <w:t xml:space="preserve">, abyste </w:t>
            </w:r>
            <w:r>
              <w:rPr>
                <w:sz w:val="16"/>
              </w:rPr>
              <w:t>dočasně ztlumili zvuk alarmu; stisknutím jakéhokoli jiného tlačítka alarm zrušíte.</w:t>
            </w:r>
          </w:p>
        </w:tc>
      </w:tr>
    </w:tbl>
    <w:p>
      <w:pPr>
        <w:pStyle w:val="TableParagraph"/>
        <w:spacing w:after="0" w:line="266" w:lineRule="auto"/>
        <w:rPr>
          <w:sz w:val="18"/>
        </w:rPr>
        <w:sectPr>
          <w:pgSz w:w="8390" w:h="11910"/>
          <w:pgMar w:top="640" w:right="425" w:bottom="540" w:left="425" w:header="0" w:footer="342"/>
          <w:cols w:space="708"/>
        </w:sectPr>
      </w:pPr>
    </w:p>
    <w:tbl>
      <w:tblPr>
        <w:tblStyle w:val="TableNormal"/>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9"/>
        <w:gridCol w:w="2277"/>
        <w:gridCol w:w="3467"/>
      </w:tblGrid>
      <w:tr>
        <w:tblPrEx>
          <w:tblW w:w="0" w:type="auto"/>
          <w:tblInd w:w="183" w:type="dxa"/>
          <w:tblLayout w:type="fixed"/>
          <w:tblLook w:val="01E0"/>
        </w:tblPrEx>
        <w:trPr>
          <w:trHeight w:val="1043"/>
        </w:trPr>
        <w:tc>
          <w:tcPr>
            <w:tcW w:w="1439" w:type="dxa"/>
            <w:vMerge w:val="restart"/>
          </w:tcPr>
          <w:p>
            <w:pPr>
              <w:pStyle w:val="TableParagraph"/>
              <w:rPr>
                <w:sz w:val="18"/>
              </w:rPr>
            </w:pPr>
          </w:p>
          <w:p>
            <w:pPr>
              <w:pStyle w:val="TableParagraph"/>
              <w:rPr>
                <w:sz w:val="18"/>
              </w:rPr>
            </w:pPr>
          </w:p>
          <w:p>
            <w:pPr>
              <w:pStyle w:val="TableParagraph"/>
              <w:spacing w:before="99"/>
              <w:rPr>
                <w:sz w:val="18"/>
              </w:rPr>
            </w:pPr>
          </w:p>
          <w:p>
            <w:pPr>
              <w:pStyle w:val="TableParagraph"/>
              <w:spacing w:before="1" w:line="266" w:lineRule="auto"/>
              <w:ind w:left="107" w:right="459"/>
              <w:rPr>
                <w:sz w:val="18"/>
              </w:rPr>
            </w:pPr>
            <w:r>
              <w:rPr>
                <w:spacing w:val="-2"/>
                <w:sz w:val="16"/>
              </w:rPr>
              <w:t>Alarm nízkého stavu baterie</w:t>
            </w:r>
          </w:p>
        </w:tc>
        <w:tc>
          <w:tcPr>
            <w:tcW w:w="2277" w:type="dxa"/>
          </w:tcPr>
          <w:p>
            <w:pPr>
              <w:pStyle w:val="TableParagraph"/>
              <w:spacing w:before="77" w:line="266" w:lineRule="auto"/>
              <w:ind w:left="108" w:right="227"/>
              <w:rPr>
                <w:sz w:val="18"/>
              </w:rPr>
            </w:pPr>
            <w:r>
              <w:rPr>
                <w:sz w:val="16"/>
              </w:rPr>
              <w:t xml:space="preserve">1. </w:t>
            </w:r>
            <w:r>
              <w:rPr>
                <w:sz w:val="16"/>
              </w:rPr>
              <w:t xml:space="preserve">Alarm se spustí </w:t>
            </w:r>
            <w:r>
              <w:rPr>
                <w:sz w:val="16"/>
              </w:rPr>
              <w:t xml:space="preserve">nejméně 30 minut před zastavením infuze z důvodu nedostatečného </w:t>
            </w:r>
            <w:r>
              <w:rPr>
                <w:sz w:val="16"/>
              </w:rPr>
              <w:t xml:space="preserve">nabití </w:t>
            </w:r>
            <w:r>
              <w:rPr>
                <w:sz w:val="16"/>
              </w:rPr>
              <w:t>baterie</w:t>
            </w:r>
            <w:r>
              <w:rPr>
                <w:sz w:val="16"/>
              </w:rPr>
              <w:t>.</w:t>
            </w:r>
          </w:p>
        </w:tc>
        <w:tc>
          <w:tcPr>
            <w:tcW w:w="3467" w:type="dxa"/>
          </w:tcPr>
          <w:p>
            <w:pPr>
              <w:pStyle w:val="TableParagraph"/>
              <w:spacing w:before="192" w:line="266" w:lineRule="auto"/>
              <w:ind w:left="108" w:right="111"/>
              <w:rPr>
                <w:sz w:val="18"/>
              </w:rPr>
            </w:pPr>
            <w:r>
              <w:rPr>
                <w:sz w:val="16"/>
              </w:rPr>
              <w:t xml:space="preserve">Stisknutím </w:t>
            </w:r>
            <w:r>
              <w:rPr>
                <w:sz w:val="16"/>
              </w:rPr>
              <w:t xml:space="preserve">tlačítka „Audio </w:t>
            </w:r>
            <w:r>
              <w:rPr>
                <w:sz w:val="16"/>
              </w:rPr>
              <w:t>Paused“ (</w:t>
            </w:r>
            <w:r>
              <w:rPr>
                <w:sz w:val="16"/>
              </w:rPr>
              <w:t xml:space="preserve">Zvuk </w:t>
            </w:r>
            <w:r>
              <w:rPr>
                <w:sz w:val="16"/>
              </w:rPr>
              <w:t xml:space="preserve">pozastaven) </w:t>
            </w:r>
            <w:r>
              <w:rPr>
                <w:sz w:val="16"/>
              </w:rPr>
              <w:t xml:space="preserve">dočasně </w:t>
            </w:r>
            <w:r>
              <w:rPr>
                <w:sz w:val="16"/>
              </w:rPr>
              <w:t>ztlumíte zvuk alarmu a zajistíte, aby byla baterie plně nabitá.</w:t>
            </w:r>
          </w:p>
        </w:tc>
      </w:tr>
      <w:tr>
        <w:tblPrEx>
          <w:tblW w:w="0" w:type="auto"/>
          <w:tblInd w:w="183" w:type="dxa"/>
          <w:tblLayout w:type="fixed"/>
          <w:tblLook w:val="01E0"/>
        </w:tblPrEx>
        <w:trPr>
          <w:trHeight w:val="813"/>
        </w:trPr>
        <w:tc>
          <w:tcPr>
            <w:tcW w:w="1439" w:type="dxa"/>
            <w:vMerge/>
            <w:tcBorders>
              <w:top w:val="nil"/>
            </w:tcBorders>
          </w:tcPr>
          <w:p>
            <w:pPr>
              <w:rPr>
                <w:sz w:val="2"/>
                <w:szCs w:val="2"/>
              </w:rPr>
            </w:pPr>
          </w:p>
        </w:tc>
        <w:tc>
          <w:tcPr>
            <w:tcW w:w="2277" w:type="dxa"/>
          </w:tcPr>
          <w:p>
            <w:pPr>
              <w:pStyle w:val="TableParagraph"/>
              <w:spacing w:before="77" w:line="266" w:lineRule="auto"/>
              <w:ind w:left="108" w:right="122"/>
              <w:jc w:val="both"/>
              <w:rPr>
                <w:sz w:val="18"/>
              </w:rPr>
            </w:pPr>
            <w:r>
              <w:rPr>
                <w:spacing w:val="-7"/>
                <w:sz w:val="16"/>
              </w:rPr>
              <w:t>2</w:t>
            </w:r>
            <w:r>
              <w:rPr>
                <w:sz w:val="16"/>
              </w:rPr>
              <w:t xml:space="preserve">. </w:t>
            </w:r>
            <w:r>
              <w:rPr>
                <w:sz w:val="16"/>
              </w:rPr>
              <w:t xml:space="preserve">Stárnutí </w:t>
            </w:r>
            <w:r>
              <w:rPr>
                <w:sz w:val="16"/>
              </w:rPr>
              <w:t xml:space="preserve">baterie </w:t>
            </w:r>
            <w:r>
              <w:rPr>
                <w:sz w:val="16"/>
              </w:rPr>
              <w:t xml:space="preserve">nebo </w:t>
            </w:r>
            <w:r>
              <w:rPr>
                <w:sz w:val="16"/>
              </w:rPr>
              <w:t xml:space="preserve">porucha </w:t>
            </w:r>
            <w:r>
              <w:rPr>
                <w:sz w:val="16"/>
              </w:rPr>
              <w:t xml:space="preserve">nabíjecího </w:t>
            </w:r>
            <w:r>
              <w:rPr>
                <w:spacing w:val="-2"/>
                <w:sz w:val="16"/>
              </w:rPr>
              <w:t xml:space="preserve">obvodu </w:t>
            </w:r>
            <w:r>
              <w:rPr>
                <w:sz w:val="16"/>
              </w:rPr>
              <w:t xml:space="preserve">injekční </w:t>
            </w:r>
            <w:r>
              <w:rPr>
                <w:sz w:val="16"/>
              </w:rPr>
              <w:t>pumpy</w:t>
            </w:r>
          </w:p>
        </w:tc>
        <w:tc>
          <w:tcPr>
            <w:tcW w:w="3467" w:type="dxa"/>
          </w:tcPr>
          <w:p>
            <w:pPr>
              <w:pStyle w:val="TableParagraph"/>
              <w:spacing w:before="192" w:line="266" w:lineRule="auto"/>
              <w:ind w:left="108" w:right="111"/>
              <w:rPr>
                <w:sz w:val="18"/>
              </w:rPr>
            </w:pPr>
            <w:r>
              <w:rPr>
                <w:sz w:val="16"/>
              </w:rPr>
              <w:t xml:space="preserve">Obraťte </w:t>
            </w:r>
            <w:r>
              <w:rPr>
                <w:sz w:val="16"/>
              </w:rPr>
              <w:t>se</w:t>
            </w:r>
            <w:r>
              <w:rPr>
                <w:sz w:val="16"/>
              </w:rPr>
              <w:t xml:space="preserve"> </w:t>
            </w:r>
            <w:r>
              <w:rPr>
                <w:sz w:val="16"/>
              </w:rPr>
              <w:t xml:space="preserve">na </w:t>
            </w:r>
            <w:r>
              <w:rPr>
                <w:sz w:val="16"/>
              </w:rPr>
              <w:t xml:space="preserve">prodejce </w:t>
            </w:r>
            <w:r>
              <w:rPr>
                <w:sz w:val="16"/>
              </w:rPr>
              <w:t xml:space="preserve">nebo </w:t>
            </w:r>
            <w:r>
              <w:rPr>
                <w:sz w:val="16"/>
              </w:rPr>
              <w:t>výrobce</w:t>
            </w:r>
            <w:r>
              <w:rPr>
                <w:spacing w:val="-2"/>
                <w:sz w:val="16"/>
              </w:rPr>
              <w:t>.</w:t>
            </w:r>
          </w:p>
        </w:tc>
      </w:tr>
      <w:tr>
        <w:tblPrEx>
          <w:tblW w:w="0" w:type="auto"/>
          <w:tblInd w:w="183" w:type="dxa"/>
          <w:tblLayout w:type="fixed"/>
          <w:tblLook w:val="01E0"/>
        </w:tblPrEx>
        <w:trPr>
          <w:trHeight w:val="1274"/>
        </w:trPr>
        <w:tc>
          <w:tcPr>
            <w:tcW w:w="1439" w:type="dxa"/>
            <w:vMerge w:val="restart"/>
          </w:tcPr>
          <w:p>
            <w:pPr>
              <w:pStyle w:val="TableParagraph"/>
              <w:rPr>
                <w:sz w:val="18"/>
              </w:rPr>
            </w:pPr>
          </w:p>
          <w:p>
            <w:pPr>
              <w:pStyle w:val="TableParagraph"/>
              <w:rPr>
                <w:sz w:val="18"/>
              </w:rPr>
            </w:pPr>
          </w:p>
          <w:p>
            <w:pPr>
              <w:pStyle w:val="TableParagraph"/>
              <w:rPr>
                <w:sz w:val="18"/>
              </w:rPr>
            </w:pPr>
          </w:p>
          <w:p>
            <w:pPr>
              <w:pStyle w:val="TableParagraph"/>
              <w:spacing w:before="6"/>
              <w:rPr>
                <w:sz w:val="18"/>
              </w:rPr>
            </w:pPr>
          </w:p>
          <w:p>
            <w:pPr>
              <w:pStyle w:val="TableParagraph"/>
              <w:spacing w:before="1" w:line="266" w:lineRule="auto"/>
              <w:ind w:left="107" w:right="159"/>
              <w:rPr>
                <w:sz w:val="18"/>
              </w:rPr>
            </w:pPr>
            <w:r>
              <w:rPr>
                <w:spacing w:val="-2"/>
                <w:sz w:val="16"/>
              </w:rPr>
              <w:t>Alarm</w:t>
            </w:r>
            <w:r>
              <w:rPr>
                <w:sz w:val="16"/>
              </w:rPr>
              <w:t xml:space="preserve"> vybití </w:t>
            </w:r>
            <w:r>
              <w:rPr>
                <w:sz w:val="16"/>
              </w:rPr>
              <w:t>baterie</w:t>
            </w:r>
          </w:p>
        </w:tc>
        <w:tc>
          <w:tcPr>
            <w:tcW w:w="2277" w:type="dxa"/>
          </w:tcPr>
          <w:p>
            <w:pPr>
              <w:pStyle w:val="TableParagraph"/>
              <w:spacing w:before="78" w:line="266" w:lineRule="auto"/>
              <w:ind w:left="108" w:right="89"/>
              <w:rPr>
                <w:sz w:val="18"/>
              </w:rPr>
            </w:pPr>
            <w:r>
              <w:rPr>
                <w:sz w:val="16"/>
              </w:rPr>
              <w:t xml:space="preserve">1. </w:t>
            </w:r>
            <w:r>
              <w:rPr>
                <w:sz w:val="16"/>
              </w:rPr>
              <w:t xml:space="preserve">Alarm </w:t>
            </w:r>
            <w:r>
              <w:rPr>
                <w:sz w:val="16"/>
              </w:rPr>
              <w:t xml:space="preserve">se </w:t>
            </w:r>
            <w:r>
              <w:rPr>
                <w:sz w:val="16"/>
              </w:rPr>
              <w:t xml:space="preserve">spustí </w:t>
            </w:r>
            <w:r>
              <w:rPr>
                <w:sz w:val="16"/>
              </w:rPr>
              <w:t>nejméně</w:t>
            </w:r>
            <w:r>
              <w:rPr>
                <w:sz w:val="16"/>
              </w:rPr>
              <w:t xml:space="preserve"> 3 </w:t>
            </w:r>
            <w:r>
              <w:rPr>
                <w:sz w:val="16"/>
              </w:rPr>
              <w:t xml:space="preserve">minuty </w:t>
            </w:r>
            <w:r>
              <w:rPr>
                <w:sz w:val="16"/>
              </w:rPr>
              <w:t xml:space="preserve">před </w:t>
            </w:r>
            <w:r>
              <w:rPr>
                <w:sz w:val="16"/>
              </w:rPr>
              <w:t xml:space="preserve">automatickým </w:t>
            </w:r>
            <w:r>
              <w:rPr>
                <w:sz w:val="16"/>
              </w:rPr>
              <w:t xml:space="preserve">vypnutím </w:t>
            </w:r>
            <w:r>
              <w:rPr>
                <w:sz w:val="16"/>
              </w:rPr>
              <w:t xml:space="preserve">pumpy </w:t>
            </w:r>
            <w:r>
              <w:rPr>
                <w:sz w:val="16"/>
              </w:rPr>
              <w:t xml:space="preserve">z důvodu </w:t>
            </w:r>
            <w:r>
              <w:rPr>
                <w:spacing w:val="-2"/>
                <w:sz w:val="16"/>
              </w:rPr>
              <w:t>vybití</w:t>
            </w:r>
            <w:r>
              <w:rPr>
                <w:sz w:val="16"/>
              </w:rPr>
              <w:t xml:space="preserve"> baterie</w:t>
            </w:r>
            <w:r>
              <w:rPr>
                <w:spacing w:val="-2"/>
                <w:sz w:val="16"/>
              </w:rPr>
              <w:t>.</w:t>
            </w:r>
          </w:p>
        </w:tc>
        <w:tc>
          <w:tcPr>
            <w:tcW w:w="3467" w:type="dxa"/>
          </w:tcPr>
          <w:p>
            <w:pPr>
              <w:pStyle w:val="TableParagraph"/>
              <w:rPr>
                <w:sz w:val="18"/>
              </w:rPr>
            </w:pPr>
          </w:p>
          <w:p>
            <w:pPr>
              <w:pStyle w:val="TableParagraph"/>
              <w:spacing w:before="7"/>
              <w:rPr>
                <w:sz w:val="18"/>
              </w:rPr>
            </w:pPr>
          </w:p>
          <w:p>
            <w:pPr>
              <w:pStyle w:val="TableParagraph"/>
              <w:spacing w:before="1" w:line="266" w:lineRule="auto"/>
              <w:ind w:left="108" w:right="111"/>
              <w:rPr>
                <w:sz w:val="18"/>
              </w:rPr>
            </w:pPr>
            <w:r>
              <w:rPr>
                <w:sz w:val="16"/>
              </w:rPr>
              <w:t xml:space="preserve">Přestaňte </w:t>
            </w:r>
            <w:r>
              <w:rPr>
                <w:sz w:val="16"/>
              </w:rPr>
              <w:t xml:space="preserve">pumpu používat </w:t>
            </w:r>
            <w:r>
              <w:rPr>
                <w:sz w:val="16"/>
              </w:rPr>
              <w:t xml:space="preserve">a </w:t>
            </w:r>
            <w:r>
              <w:rPr>
                <w:sz w:val="16"/>
              </w:rPr>
              <w:t xml:space="preserve">ujistěte se, že </w:t>
            </w:r>
            <w:r>
              <w:rPr>
                <w:sz w:val="16"/>
              </w:rPr>
              <w:t xml:space="preserve">je </w:t>
            </w:r>
            <w:r>
              <w:rPr>
                <w:sz w:val="16"/>
              </w:rPr>
              <w:t xml:space="preserve">baterie </w:t>
            </w:r>
            <w:r>
              <w:rPr>
                <w:sz w:val="16"/>
              </w:rPr>
              <w:t xml:space="preserve">plně </w:t>
            </w:r>
            <w:r>
              <w:rPr>
                <w:spacing w:val="-2"/>
                <w:sz w:val="16"/>
              </w:rPr>
              <w:t>nabitá.</w:t>
            </w:r>
          </w:p>
        </w:tc>
      </w:tr>
      <w:tr>
        <w:tblPrEx>
          <w:tblW w:w="0" w:type="auto"/>
          <w:tblInd w:w="183" w:type="dxa"/>
          <w:tblLayout w:type="fixed"/>
          <w:tblLook w:val="01E0"/>
        </w:tblPrEx>
        <w:trPr>
          <w:trHeight w:val="813"/>
        </w:trPr>
        <w:tc>
          <w:tcPr>
            <w:tcW w:w="1439" w:type="dxa"/>
            <w:vMerge/>
            <w:tcBorders>
              <w:top w:val="nil"/>
            </w:tcBorders>
          </w:tcPr>
          <w:p>
            <w:pPr>
              <w:rPr>
                <w:sz w:val="2"/>
                <w:szCs w:val="2"/>
              </w:rPr>
            </w:pPr>
          </w:p>
        </w:tc>
        <w:tc>
          <w:tcPr>
            <w:tcW w:w="2277" w:type="dxa"/>
          </w:tcPr>
          <w:p>
            <w:pPr>
              <w:pStyle w:val="TableParagraph"/>
              <w:spacing w:before="78" w:line="266" w:lineRule="auto"/>
              <w:ind w:left="108" w:right="122"/>
              <w:jc w:val="both"/>
              <w:rPr>
                <w:sz w:val="18"/>
              </w:rPr>
            </w:pPr>
            <w:r>
              <w:rPr>
                <w:spacing w:val="-7"/>
                <w:sz w:val="16"/>
              </w:rPr>
              <w:t>2</w:t>
            </w:r>
            <w:r>
              <w:rPr>
                <w:sz w:val="16"/>
              </w:rPr>
              <w:t xml:space="preserve">. </w:t>
            </w:r>
            <w:r>
              <w:rPr>
                <w:sz w:val="16"/>
              </w:rPr>
              <w:t xml:space="preserve">Stárnutí </w:t>
            </w:r>
            <w:r>
              <w:rPr>
                <w:sz w:val="16"/>
              </w:rPr>
              <w:t xml:space="preserve">baterie </w:t>
            </w:r>
            <w:r>
              <w:rPr>
                <w:sz w:val="16"/>
              </w:rPr>
              <w:t xml:space="preserve">nebo </w:t>
            </w:r>
            <w:r>
              <w:rPr>
                <w:sz w:val="16"/>
              </w:rPr>
              <w:t xml:space="preserve">porucha </w:t>
            </w:r>
            <w:r>
              <w:rPr>
                <w:sz w:val="16"/>
              </w:rPr>
              <w:t xml:space="preserve">nabíjecího </w:t>
            </w:r>
            <w:r>
              <w:rPr>
                <w:spacing w:val="-2"/>
                <w:sz w:val="16"/>
              </w:rPr>
              <w:t xml:space="preserve">obvodu </w:t>
            </w:r>
            <w:r>
              <w:rPr>
                <w:sz w:val="16"/>
              </w:rPr>
              <w:t xml:space="preserve">injekční </w:t>
            </w:r>
            <w:r>
              <w:rPr>
                <w:sz w:val="16"/>
              </w:rPr>
              <w:t>pumpy</w:t>
            </w:r>
          </w:p>
        </w:tc>
        <w:tc>
          <w:tcPr>
            <w:tcW w:w="3467" w:type="dxa"/>
          </w:tcPr>
          <w:p>
            <w:pPr>
              <w:pStyle w:val="TableParagraph"/>
              <w:spacing w:before="194" w:line="264" w:lineRule="auto"/>
              <w:ind w:left="108" w:right="111"/>
              <w:rPr>
                <w:sz w:val="18"/>
              </w:rPr>
            </w:pPr>
            <w:r>
              <w:rPr>
                <w:sz w:val="16"/>
              </w:rPr>
              <w:t xml:space="preserve">Obraťte se </w:t>
            </w:r>
            <w:r>
              <w:rPr>
                <w:sz w:val="16"/>
              </w:rPr>
              <w:t xml:space="preserve">na </w:t>
            </w:r>
            <w:r>
              <w:rPr>
                <w:sz w:val="16"/>
              </w:rPr>
              <w:t xml:space="preserve">prodejce </w:t>
            </w:r>
            <w:r>
              <w:rPr>
                <w:sz w:val="16"/>
              </w:rPr>
              <w:t xml:space="preserve">nebo </w:t>
            </w:r>
            <w:r>
              <w:rPr>
                <w:sz w:val="16"/>
              </w:rPr>
              <w:t xml:space="preserve">výrobce </w:t>
            </w:r>
            <w:r>
              <w:rPr>
                <w:sz w:val="16"/>
              </w:rPr>
              <w:t xml:space="preserve">a požádejte </w:t>
            </w:r>
            <w:r>
              <w:rPr>
                <w:sz w:val="16"/>
              </w:rPr>
              <w:t xml:space="preserve">o </w:t>
            </w:r>
            <w:r>
              <w:rPr>
                <w:spacing w:val="-2"/>
                <w:sz w:val="16"/>
              </w:rPr>
              <w:t>servis.</w:t>
            </w:r>
          </w:p>
        </w:tc>
      </w:tr>
      <w:tr>
        <w:tblPrEx>
          <w:tblW w:w="0" w:type="auto"/>
          <w:tblInd w:w="183" w:type="dxa"/>
          <w:tblLayout w:type="fixed"/>
          <w:tblLook w:val="01E0"/>
        </w:tblPrEx>
        <w:trPr>
          <w:trHeight w:val="1964"/>
        </w:trPr>
        <w:tc>
          <w:tcPr>
            <w:tcW w:w="1439"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8"/>
              <w:rPr>
                <w:sz w:val="18"/>
              </w:rPr>
            </w:pPr>
          </w:p>
          <w:p>
            <w:pPr>
              <w:pStyle w:val="TableParagraph"/>
              <w:spacing w:line="266" w:lineRule="auto"/>
              <w:ind w:left="107" w:right="459"/>
              <w:rPr>
                <w:sz w:val="18"/>
              </w:rPr>
            </w:pPr>
            <w:r>
              <w:rPr>
                <w:spacing w:val="-2"/>
                <w:sz w:val="16"/>
              </w:rPr>
              <w:t>Alarm ucpání</w:t>
            </w:r>
          </w:p>
        </w:tc>
        <w:tc>
          <w:tcPr>
            <w:tcW w:w="2277" w:type="dxa"/>
          </w:tcPr>
          <w:p>
            <w:pPr>
              <w:pStyle w:val="TableParagraph"/>
              <w:rPr>
                <w:sz w:val="18"/>
              </w:rPr>
            </w:pPr>
          </w:p>
          <w:p>
            <w:pPr>
              <w:pStyle w:val="TableParagraph"/>
              <w:rPr>
                <w:sz w:val="18"/>
              </w:rPr>
            </w:pPr>
          </w:p>
          <w:p>
            <w:pPr>
              <w:pStyle w:val="TableParagraph"/>
              <w:spacing w:before="33"/>
              <w:rPr>
                <w:sz w:val="18"/>
              </w:rPr>
            </w:pPr>
          </w:p>
          <w:p>
            <w:pPr>
              <w:pStyle w:val="TableParagraph"/>
              <w:spacing w:line="266" w:lineRule="auto"/>
              <w:ind w:left="108" w:right="387"/>
              <w:jc w:val="both"/>
              <w:rPr>
                <w:sz w:val="18"/>
              </w:rPr>
            </w:pPr>
            <w:r>
              <w:rPr>
                <w:sz w:val="16"/>
              </w:rPr>
              <w:t xml:space="preserve">1. Během provozu </w:t>
            </w:r>
            <w:r>
              <w:rPr>
                <w:sz w:val="16"/>
              </w:rPr>
              <w:t xml:space="preserve">dojde k </w:t>
            </w:r>
            <w:r>
              <w:rPr>
                <w:spacing w:val="-2"/>
                <w:sz w:val="16"/>
              </w:rPr>
              <w:t xml:space="preserve">zablokování </w:t>
            </w:r>
            <w:r>
              <w:rPr>
                <w:sz w:val="16"/>
              </w:rPr>
              <w:t xml:space="preserve">infuzní </w:t>
            </w:r>
            <w:r>
              <w:rPr>
                <w:sz w:val="16"/>
              </w:rPr>
              <w:t>hadičky</w:t>
            </w:r>
            <w:r>
              <w:rPr>
                <w:spacing w:val="-2"/>
                <w:sz w:val="16"/>
              </w:rPr>
              <w:t>.</w:t>
            </w:r>
          </w:p>
        </w:tc>
        <w:tc>
          <w:tcPr>
            <w:tcW w:w="3467" w:type="dxa"/>
          </w:tcPr>
          <w:p>
            <w:pPr>
              <w:pStyle w:val="TableParagraph"/>
              <w:spacing w:before="78" w:line="266" w:lineRule="auto"/>
              <w:ind w:left="108" w:right="111"/>
              <w:rPr>
                <w:sz w:val="18"/>
              </w:rPr>
            </w:pPr>
            <w:r>
              <w:rPr>
                <w:sz w:val="16"/>
              </w:rPr>
              <w:t xml:space="preserve">Stiskněte </w:t>
            </w:r>
            <w:r>
              <w:rPr>
                <w:sz w:val="16"/>
              </w:rPr>
              <w:t xml:space="preserve">tlačítko </w:t>
            </w:r>
            <w:r>
              <w:rPr>
                <w:sz w:val="16"/>
              </w:rPr>
              <w:t xml:space="preserve">„Audio </w:t>
            </w:r>
            <w:r>
              <w:rPr>
                <w:sz w:val="16"/>
              </w:rPr>
              <w:t>Paused“ (Zvuk pozastaven</w:t>
            </w:r>
            <w:r>
              <w:rPr>
                <w:sz w:val="16"/>
              </w:rPr>
              <w:t>),</w:t>
            </w:r>
            <w:r>
              <w:rPr>
                <w:sz w:val="16"/>
              </w:rPr>
              <w:t xml:space="preserve"> abyste </w:t>
            </w:r>
            <w:r>
              <w:rPr>
                <w:sz w:val="16"/>
              </w:rPr>
              <w:t xml:space="preserve">dočasně ztlumili zvuk alarmu, poté zkontrolujte příčinu ucpání a odstraňte ji. Stiskněte </w:t>
            </w:r>
            <w:r>
              <w:rPr>
                <w:sz w:val="16"/>
              </w:rPr>
              <w:t xml:space="preserve">tlačítko </w:t>
            </w:r>
            <w:r>
              <w:rPr>
                <w:sz w:val="16"/>
              </w:rPr>
              <w:t xml:space="preserve">„Alarm </w:t>
            </w:r>
            <w:r>
              <w:rPr>
                <w:sz w:val="16"/>
              </w:rPr>
              <w:t>Reset/Clear“ (Resetování/vymazání alarmu)</w:t>
            </w:r>
            <w:r>
              <w:rPr>
                <w:sz w:val="16"/>
              </w:rPr>
              <w:t>,</w:t>
            </w:r>
            <w:r>
              <w:rPr>
                <w:sz w:val="16"/>
              </w:rPr>
              <w:t xml:space="preserve"> abyste </w:t>
            </w:r>
            <w:r>
              <w:rPr>
                <w:sz w:val="16"/>
              </w:rPr>
              <w:t xml:space="preserve">alarm </w:t>
            </w:r>
            <w:r>
              <w:rPr>
                <w:sz w:val="16"/>
              </w:rPr>
              <w:t xml:space="preserve">odstranili </w:t>
            </w:r>
            <w:r>
              <w:rPr>
                <w:sz w:val="16"/>
              </w:rPr>
              <w:t xml:space="preserve">(tím se zastaví zvuk alarmu, vymaže se zobrazení alarmu </w:t>
            </w:r>
            <w:r>
              <w:rPr>
                <w:sz w:val="16"/>
              </w:rPr>
              <w:t xml:space="preserve">a vypne se </w:t>
            </w:r>
            <w:r>
              <w:rPr>
                <w:sz w:val="16"/>
              </w:rPr>
              <w:t>kontrolka alarmu). Pokud příčina alarmu není odstraněna, restartování spustí alarm znovu.</w:t>
            </w:r>
          </w:p>
        </w:tc>
      </w:tr>
      <w:tr>
        <w:tblPrEx>
          <w:tblW w:w="0" w:type="auto"/>
          <w:tblInd w:w="183" w:type="dxa"/>
          <w:tblLayout w:type="fixed"/>
          <w:tblLook w:val="01E0"/>
        </w:tblPrEx>
        <w:trPr>
          <w:trHeight w:val="813"/>
        </w:trPr>
        <w:tc>
          <w:tcPr>
            <w:tcW w:w="1439" w:type="dxa"/>
            <w:vMerge/>
            <w:tcBorders>
              <w:top w:val="nil"/>
            </w:tcBorders>
          </w:tcPr>
          <w:p>
            <w:pPr>
              <w:rPr>
                <w:sz w:val="2"/>
                <w:szCs w:val="2"/>
              </w:rPr>
            </w:pPr>
          </w:p>
        </w:tc>
        <w:tc>
          <w:tcPr>
            <w:tcW w:w="2277" w:type="dxa"/>
          </w:tcPr>
          <w:p>
            <w:pPr>
              <w:pStyle w:val="TableParagraph"/>
              <w:spacing w:before="192" w:line="266" w:lineRule="auto"/>
              <w:ind w:left="108" w:right="227"/>
              <w:rPr>
                <w:sz w:val="18"/>
              </w:rPr>
            </w:pPr>
            <w:r>
              <w:rPr>
                <w:sz w:val="16"/>
              </w:rPr>
              <w:t xml:space="preserve">2. </w:t>
            </w:r>
            <w:r>
              <w:rPr>
                <w:sz w:val="16"/>
              </w:rPr>
              <w:t xml:space="preserve">Citlivost </w:t>
            </w:r>
            <w:r>
              <w:rPr>
                <w:sz w:val="16"/>
              </w:rPr>
              <w:t xml:space="preserve">na ucpání </w:t>
            </w:r>
            <w:r>
              <w:rPr>
                <w:sz w:val="16"/>
              </w:rPr>
              <w:t xml:space="preserve">je příliš </w:t>
            </w:r>
            <w:r>
              <w:rPr>
                <w:sz w:val="16"/>
              </w:rPr>
              <w:t>vysoká.</w:t>
            </w:r>
          </w:p>
        </w:tc>
        <w:tc>
          <w:tcPr>
            <w:tcW w:w="3467" w:type="dxa"/>
          </w:tcPr>
          <w:p>
            <w:pPr>
              <w:pStyle w:val="TableParagraph"/>
              <w:spacing w:before="79" w:line="266" w:lineRule="auto"/>
              <w:ind w:left="108" w:right="111"/>
              <w:rPr>
                <w:sz w:val="18"/>
              </w:rPr>
            </w:pPr>
            <w:r>
              <w:rPr>
                <w:sz w:val="16"/>
              </w:rPr>
              <w:t xml:space="preserve">Nastavení koeficientu alarmu tlaku ucpání injekční pumpy </w:t>
            </w:r>
            <w:r>
              <w:rPr>
                <w:sz w:val="16"/>
              </w:rPr>
              <w:t xml:space="preserve">najdete </w:t>
            </w:r>
            <w:r>
              <w:rPr>
                <w:sz w:val="16"/>
              </w:rPr>
              <w:t xml:space="preserve">v </w:t>
            </w:r>
            <w:r>
              <w:rPr>
                <w:sz w:val="16"/>
              </w:rPr>
              <w:t>části</w:t>
            </w:r>
            <w:r>
              <w:rPr>
                <w:sz w:val="16"/>
              </w:rPr>
              <w:t xml:space="preserve"> 8.3.11 </w:t>
            </w:r>
            <w:r>
              <w:rPr>
                <w:sz w:val="16"/>
              </w:rPr>
              <w:t xml:space="preserve">tohoto </w:t>
            </w:r>
            <w:r>
              <w:rPr>
                <w:sz w:val="16"/>
              </w:rPr>
              <w:t>návodu</w:t>
            </w:r>
            <w:r>
              <w:rPr>
                <w:sz w:val="16"/>
              </w:rPr>
              <w:t>.</w:t>
            </w:r>
          </w:p>
        </w:tc>
      </w:tr>
      <w:tr>
        <w:tblPrEx>
          <w:tblW w:w="0" w:type="auto"/>
          <w:tblInd w:w="183" w:type="dxa"/>
          <w:tblLayout w:type="fixed"/>
          <w:tblLook w:val="01E0"/>
        </w:tblPrEx>
        <w:trPr>
          <w:trHeight w:val="583"/>
        </w:trPr>
        <w:tc>
          <w:tcPr>
            <w:tcW w:w="1439" w:type="dxa"/>
            <w:vMerge/>
            <w:tcBorders>
              <w:top w:val="nil"/>
            </w:tcBorders>
          </w:tcPr>
          <w:p>
            <w:pPr>
              <w:rPr>
                <w:sz w:val="2"/>
                <w:szCs w:val="2"/>
              </w:rPr>
            </w:pPr>
          </w:p>
        </w:tc>
        <w:tc>
          <w:tcPr>
            <w:tcW w:w="2277" w:type="dxa"/>
          </w:tcPr>
          <w:p>
            <w:pPr>
              <w:pStyle w:val="TableParagraph"/>
              <w:spacing w:before="78" w:line="266" w:lineRule="auto"/>
              <w:ind w:left="108" w:right="89"/>
              <w:rPr>
                <w:sz w:val="18"/>
              </w:rPr>
            </w:pPr>
            <w:r>
              <w:rPr>
                <w:sz w:val="16"/>
              </w:rPr>
              <w:t>3</w:t>
            </w:r>
            <w:r>
              <w:rPr>
                <w:sz w:val="16"/>
              </w:rPr>
              <w:t xml:space="preserve">. </w:t>
            </w:r>
            <w:r>
              <w:rPr>
                <w:sz w:val="16"/>
              </w:rPr>
              <w:t xml:space="preserve">Porucha </w:t>
            </w:r>
            <w:r>
              <w:rPr>
                <w:sz w:val="16"/>
              </w:rPr>
              <w:t>senzoru injekční pumpy.</w:t>
            </w:r>
          </w:p>
        </w:tc>
        <w:tc>
          <w:tcPr>
            <w:tcW w:w="3467" w:type="dxa"/>
          </w:tcPr>
          <w:p>
            <w:pPr>
              <w:pStyle w:val="TableParagraph"/>
              <w:spacing w:before="78" w:line="266" w:lineRule="auto"/>
              <w:ind w:left="108" w:right="111"/>
              <w:rPr>
                <w:sz w:val="18"/>
              </w:rPr>
            </w:pPr>
            <w:r>
              <w:rPr>
                <w:sz w:val="16"/>
              </w:rPr>
              <w:t xml:space="preserve">Obraťte </w:t>
            </w:r>
            <w:r>
              <w:rPr>
                <w:sz w:val="16"/>
              </w:rPr>
              <w:t>se</w:t>
            </w:r>
            <w:r>
              <w:rPr>
                <w:sz w:val="16"/>
              </w:rPr>
              <w:t xml:space="preserve"> </w:t>
            </w:r>
            <w:r>
              <w:rPr>
                <w:sz w:val="16"/>
              </w:rPr>
              <w:t xml:space="preserve">na </w:t>
            </w:r>
            <w:r>
              <w:rPr>
                <w:sz w:val="16"/>
              </w:rPr>
              <w:t xml:space="preserve">prodejce </w:t>
            </w:r>
            <w:r>
              <w:rPr>
                <w:sz w:val="16"/>
              </w:rPr>
              <w:t xml:space="preserve">nebo </w:t>
            </w:r>
            <w:r>
              <w:rPr>
                <w:sz w:val="16"/>
              </w:rPr>
              <w:t>výrobce</w:t>
            </w:r>
            <w:r>
              <w:rPr>
                <w:spacing w:val="-2"/>
                <w:sz w:val="16"/>
              </w:rPr>
              <w:t>.</w:t>
            </w:r>
          </w:p>
        </w:tc>
      </w:tr>
      <w:tr>
        <w:tblPrEx>
          <w:tblW w:w="0" w:type="auto"/>
          <w:tblInd w:w="183" w:type="dxa"/>
          <w:tblLayout w:type="fixed"/>
          <w:tblLook w:val="01E0"/>
        </w:tblPrEx>
        <w:trPr>
          <w:trHeight w:val="1273"/>
        </w:trPr>
        <w:tc>
          <w:tcPr>
            <w:tcW w:w="1439" w:type="dxa"/>
          </w:tcPr>
          <w:p>
            <w:pPr>
              <w:pStyle w:val="TableParagraph"/>
              <w:rPr>
                <w:sz w:val="18"/>
              </w:rPr>
            </w:pPr>
          </w:p>
          <w:p>
            <w:pPr>
              <w:pStyle w:val="TableParagraph"/>
              <w:spacing w:before="3"/>
              <w:rPr>
                <w:sz w:val="18"/>
              </w:rPr>
            </w:pPr>
          </w:p>
          <w:p>
            <w:pPr>
              <w:pStyle w:val="TableParagraph"/>
              <w:spacing w:before="1" w:line="266" w:lineRule="auto"/>
              <w:ind w:left="107"/>
              <w:rPr>
                <w:sz w:val="18"/>
              </w:rPr>
            </w:pPr>
            <w:r>
              <w:rPr>
                <w:spacing w:val="-2"/>
                <w:sz w:val="16"/>
              </w:rPr>
              <w:t>Alarm „AlmostDone“</w:t>
            </w:r>
          </w:p>
        </w:tc>
        <w:tc>
          <w:tcPr>
            <w:tcW w:w="2277" w:type="dxa"/>
          </w:tcPr>
          <w:p>
            <w:pPr>
              <w:pStyle w:val="TableParagraph"/>
              <w:spacing w:before="100"/>
              <w:rPr>
                <w:sz w:val="18"/>
              </w:rPr>
            </w:pPr>
          </w:p>
          <w:p>
            <w:pPr>
              <w:pStyle w:val="TableParagraph"/>
              <w:spacing w:line="266" w:lineRule="auto"/>
              <w:ind w:left="108" w:right="89"/>
              <w:rPr>
                <w:sz w:val="18"/>
              </w:rPr>
            </w:pPr>
            <w:r>
              <w:rPr>
                <w:sz w:val="16"/>
              </w:rPr>
              <w:t xml:space="preserve">Když </w:t>
            </w:r>
            <w:r>
              <w:rPr>
                <w:sz w:val="16"/>
              </w:rPr>
              <w:t xml:space="preserve">se </w:t>
            </w:r>
            <w:r>
              <w:rPr>
                <w:sz w:val="16"/>
              </w:rPr>
              <w:t xml:space="preserve">celkový </w:t>
            </w:r>
            <w:r>
              <w:rPr>
                <w:sz w:val="16"/>
              </w:rPr>
              <w:t>objem</w:t>
            </w:r>
            <w:r>
              <w:rPr>
                <w:sz w:val="16"/>
              </w:rPr>
              <w:t xml:space="preserve"> injekce </w:t>
            </w:r>
            <w:r>
              <w:rPr>
                <w:sz w:val="16"/>
              </w:rPr>
              <w:t>blí</w:t>
            </w:r>
            <w:r>
              <w:rPr>
                <w:spacing w:val="-10"/>
                <w:sz w:val="16"/>
              </w:rPr>
              <w:t xml:space="preserve">ží </w:t>
            </w:r>
            <w:r>
              <w:rPr>
                <w:sz w:val="16"/>
              </w:rPr>
              <w:t>přednastavenému množství.</w:t>
            </w:r>
          </w:p>
        </w:tc>
        <w:tc>
          <w:tcPr>
            <w:tcW w:w="3467" w:type="dxa"/>
          </w:tcPr>
          <w:p>
            <w:pPr>
              <w:pStyle w:val="TableParagraph"/>
              <w:spacing w:before="77" w:line="266" w:lineRule="auto"/>
              <w:ind w:left="108" w:right="111"/>
              <w:rPr>
                <w:sz w:val="18"/>
              </w:rPr>
            </w:pPr>
            <w:r>
              <w:rPr>
                <w:sz w:val="16"/>
              </w:rPr>
              <w:t xml:space="preserve">Stisknutím </w:t>
            </w:r>
            <w:r>
              <w:rPr>
                <w:sz w:val="16"/>
              </w:rPr>
              <w:t xml:space="preserve">tlačítka </w:t>
            </w:r>
            <w:r>
              <w:rPr>
                <w:sz w:val="16"/>
              </w:rPr>
              <w:t xml:space="preserve">„Audio </w:t>
            </w:r>
            <w:r>
              <w:rPr>
                <w:sz w:val="16"/>
              </w:rPr>
              <w:t xml:space="preserve">Paused“ (Zvuk pozastaven) </w:t>
            </w:r>
            <w:r>
              <w:rPr>
                <w:sz w:val="16"/>
              </w:rPr>
              <w:t>dočasně ztlumíte zvuk alarmu. Stisknutím tlačítka „Alarm Reset/Clear“ (Resetování/vymazání alarmu) alarm zrušíte (zastaví se zvuk alarmu, vymaže se displej a zhasne kontrolka alarmu).</w:t>
            </w:r>
          </w:p>
        </w:tc>
      </w:tr>
      <w:tr>
        <w:tblPrEx>
          <w:tblW w:w="0" w:type="auto"/>
          <w:tblInd w:w="183" w:type="dxa"/>
          <w:tblLayout w:type="fixed"/>
          <w:tblLook w:val="01E0"/>
        </w:tblPrEx>
        <w:trPr>
          <w:trHeight w:val="1272"/>
        </w:trPr>
        <w:tc>
          <w:tcPr>
            <w:tcW w:w="1439" w:type="dxa"/>
          </w:tcPr>
          <w:p>
            <w:pPr>
              <w:pStyle w:val="TableParagraph"/>
              <w:rPr>
                <w:sz w:val="18"/>
              </w:rPr>
            </w:pPr>
          </w:p>
          <w:p>
            <w:pPr>
              <w:pStyle w:val="TableParagraph"/>
              <w:spacing w:before="119"/>
              <w:rPr>
                <w:sz w:val="18"/>
              </w:rPr>
            </w:pPr>
          </w:p>
          <w:p>
            <w:pPr>
              <w:pStyle w:val="TableParagraph"/>
              <w:ind w:left="107"/>
              <w:rPr>
                <w:sz w:val="18"/>
              </w:rPr>
            </w:pPr>
            <w:r>
              <w:rPr>
                <w:spacing w:val="-2"/>
                <w:sz w:val="16"/>
              </w:rPr>
              <w:t xml:space="preserve">Alarm </w:t>
            </w:r>
            <w:r>
              <w:rPr>
                <w:sz w:val="16"/>
              </w:rPr>
              <w:t>„Dokončeno“</w:t>
            </w:r>
          </w:p>
        </w:tc>
        <w:tc>
          <w:tcPr>
            <w:tcW w:w="2277" w:type="dxa"/>
          </w:tcPr>
          <w:p>
            <w:pPr>
              <w:pStyle w:val="TableParagraph"/>
              <w:rPr>
                <w:sz w:val="18"/>
              </w:rPr>
            </w:pPr>
          </w:p>
          <w:p>
            <w:pPr>
              <w:pStyle w:val="TableParagraph"/>
              <w:spacing w:before="8"/>
              <w:rPr>
                <w:sz w:val="18"/>
              </w:rPr>
            </w:pPr>
          </w:p>
          <w:p>
            <w:pPr>
              <w:pStyle w:val="TableParagraph"/>
              <w:spacing w:line="266" w:lineRule="auto"/>
              <w:ind w:left="108" w:right="89"/>
              <w:rPr>
                <w:sz w:val="18"/>
              </w:rPr>
            </w:pPr>
            <w:r>
              <w:rPr>
                <w:sz w:val="16"/>
              </w:rPr>
              <w:t xml:space="preserve">Když </w:t>
            </w:r>
            <w:r>
              <w:rPr>
                <w:sz w:val="16"/>
              </w:rPr>
              <w:t xml:space="preserve">je </w:t>
            </w:r>
            <w:r>
              <w:rPr>
                <w:sz w:val="16"/>
              </w:rPr>
              <w:t xml:space="preserve">přednastavený </w:t>
            </w:r>
            <w:r>
              <w:rPr>
                <w:sz w:val="16"/>
              </w:rPr>
              <w:t xml:space="preserve">objem </w:t>
            </w:r>
            <w:r>
              <w:rPr>
                <w:spacing w:val="-2"/>
                <w:sz w:val="16"/>
              </w:rPr>
              <w:t>dokončen.</w:t>
            </w:r>
          </w:p>
        </w:tc>
        <w:tc>
          <w:tcPr>
            <w:tcW w:w="3467" w:type="dxa"/>
          </w:tcPr>
          <w:p>
            <w:pPr>
              <w:pStyle w:val="TableParagraph"/>
              <w:spacing w:before="77" w:line="266" w:lineRule="auto"/>
              <w:ind w:left="108" w:right="111"/>
              <w:rPr>
                <w:sz w:val="18"/>
              </w:rPr>
            </w:pPr>
            <w:r>
              <w:rPr>
                <w:sz w:val="16"/>
              </w:rPr>
              <w:t xml:space="preserve">Stisknutím </w:t>
            </w:r>
            <w:r>
              <w:rPr>
                <w:sz w:val="16"/>
              </w:rPr>
              <w:t xml:space="preserve">tlačítka </w:t>
            </w:r>
            <w:r>
              <w:rPr>
                <w:sz w:val="16"/>
              </w:rPr>
              <w:t xml:space="preserve">„Audio </w:t>
            </w:r>
            <w:r>
              <w:rPr>
                <w:sz w:val="16"/>
              </w:rPr>
              <w:t xml:space="preserve">Paused“ (Zvuk pozastaven) </w:t>
            </w:r>
            <w:r>
              <w:rPr>
                <w:sz w:val="16"/>
              </w:rPr>
              <w:t>dočasně ztlumíte zvuk alarmu. Stisknutím tlačítka „Alarm Reset/Clear“ (Resetovat/vymazat alarm) alarm zrušíte (zastaví se zvuk alarmu, vymaže se displej a zhasne kontrolka alarmu).</w:t>
            </w:r>
          </w:p>
        </w:tc>
      </w:tr>
    </w:tbl>
    <w:p>
      <w:pPr>
        <w:pStyle w:val="TableParagraph"/>
        <w:spacing w:after="0" w:line="266" w:lineRule="auto"/>
        <w:rPr>
          <w:sz w:val="18"/>
        </w:rPr>
        <w:sectPr>
          <w:type w:val="continuous"/>
          <w:pgSz w:w="8390" w:h="11910"/>
          <w:pgMar w:top="700" w:right="425" w:bottom="540" w:left="425" w:header="0" w:footer="342"/>
          <w:cols w:space="708"/>
        </w:sectPr>
      </w:pPr>
    </w:p>
    <w:tbl>
      <w:tblPr>
        <w:tblStyle w:val="TableNormal"/>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9"/>
        <w:gridCol w:w="2277"/>
        <w:gridCol w:w="3467"/>
      </w:tblGrid>
      <w:tr>
        <w:tblPrEx>
          <w:tblW w:w="0" w:type="auto"/>
          <w:tblInd w:w="183" w:type="dxa"/>
          <w:tblLayout w:type="fixed"/>
          <w:tblLook w:val="01E0"/>
        </w:tblPrEx>
        <w:trPr>
          <w:trHeight w:val="1273"/>
        </w:trPr>
        <w:tc>
          <w:tcPr>
            <w:tcW w:w="1439" w:type="dxa"/>
          </w:tcPr>
          <w:p>
            <w:pPr>
              <w:pStyle w:val="TableParagraph"/>
              <w:rPr>
                <w:sz w:val="18"/>
              </w:rPr>
            </w:pPr>
          </w:p>
          <w:p>
            <w:pPr>
              <w:pStyle w:val="TableParagraph"/>
              <w:spacing w:before="4"/>
              <w:rPr>
                <w:sz w:val="18"/>
              </w:rPr>
            </w:pPr>
          </w:p>
          <w:p>
            <w:pPr>
              <w:pStyle w:val="TableParagraph"/>
              <w:spacing w:line="266" w:lineRule="auto"/>
              <w:ind w:left="107" w:right="439"/>
              <w:rPr>
                <w:sz w:val="18"/>
              </w:rPr>
            </w:pPr>
            <w:r>
              <w:rPr>
                <w:spacing w:val="-2"/>
                <w:sz w:val="16"/>
              </w:rPr>
              <w:t xml:space="preserve">Alarm </w:t>
            </w:r>
            <w:r>
              <w:rPr>
                <w:sz w:val="16"/>
              </w:rPr>
              <w:t xml:space="preserve">téměř </w:t>
            </w:r>
            <w:r>
              <w:rPr>
                <w:sz w:val="16"/>
              </w:rPr>
              <w:t>prázdné nádobky</w:t>
            </w:r>
          </w:p>
        </w:tc>
        <w:tc>
          <w:tcPr>
            <w:tcW w:w="2277" w:type="dxa"/>
          </w:tcPr>
          <w:p>
            <w:pPr>
              <w:pStyle w:val="TableParagraph"/>
              <w:spacing w:before="100"/>
              <w:rPr>
                <w:sz w:val="18"/>
              </w:rPr>
            </w:pPr>
          </w:p>
          <w:p>
            <w:pPr>
              <w:pStyle w:val="TableParagraph"/>
              <w:spacing w:before="1" w:line="266" w:lineRule="auto"/>
              <w:ind w:left="108" w:right="89"/>
              <w:rPr>
                <w:sz w:val="18"/>
              </w:rPr>
            </w:pPr>
            <w:r>
              <w:rPr>
                <w:sz w:val="16"/>
              </w:rPr>
              <w:t xml:space="preserve">Když </w:t>
            </w:r>
            <w:r>
              <w:rPr>
                <w:sz w:val="16"/>
              </w:rPr>
              <w:t xml:space="preserve">se </w:t>
            </w:r>
            <w:r>
              <w:rPr>
                <w:sz w:val="16"/>
              </w:rPr>
              <w:t xml:space="preserve">lék </w:t>
            </w:r>
            <w:r>
              <w:rPr>
                <w:sz w:val="16"/>
              </w:rPr>
              <w:t xml:space="preserve">v </w:t>
            </w:r>
            <w:r>
              <w:rPr>
                <w:sz w:val="16"/>
              </w:rPr>
              <w:t xml:space="preserve">injekční stříkačce téměř </w:t>
            </w:r>
            <w:r>
              <w:rPr>
                <w:spacing w:val="-2"/>
                <w:sz w:val="16"/>
              </w:rPr>
              <w:t>vyčerpá.</w:t>
            </w:r>
          </w:p>
        </w:tc>
        <w:tc>
          <w:tcPr>
            <w:tcW w:w="3467" w:type="dxa"/>
          </w:tcPr>
          <w:p>
            <w:pPr>
              <w:pStyle w:val="TableParagraph"/>
              <w:spacing w:before="77" w:line="266" w:lineRule="auto"/>
              <w:ind w:left="108" w:right="111"/>
              <w:rPr>
                <w:sz w:val="18"/>
              </w:rPr>
            </w:pPr>
            <w:r>
              <w:rPr>
                <w:sz w:val="16"/>
              </w:rPr>
              <w:t xml:space="preserve">Stisknutím </w:t>
            </w:r>
            <w:r>
              <w:rPr>
                <w:sz w:val="16"/>
              </w:rPr>
              <w:t xml:space="preserve">tlačítka </w:t>
            </w:r>
            <w:r>
              <w:rPr>
                <w:sz w:val="16"/>
              </w:rPr>
              <w:t xml:space="preserve">„Audio </w:t>
            </w:r>
            <w:r>
              <w:rPr>
                <w:sz w:val="16"/>
              </w:rPr>
              <w:t xml:space="preserve">Paused“ (Zvuk pozastaven) </w:t>
            </w:r>
            <w:r>
              <w:rPr>
                <w:sz w:val="16"/>
              </w:rPr>
              <w:t>dočasně ztlumíte zvuk alarmu. Stisknutím tlačítka „Alarm Reset/Clear“ (Resetovat/Vymazat alarm) alarm zrušíte (zastaví se zvuk alarmu, vymaže se displej a zhasne kontrolka alarmu).</w:t>
            </w:r>
          </w:p>
        </w:tc>
      </w:tr>
      <w:tr>
        <w:tblPrEx>
          <w:tblW w:w="0" w:type="auto"/>
          <w:tblInd w:w="183" w:type="dxa"/>
          <w:tblLayout w:type="fixed"/>
          <w:tblLook w:val="01E0"/>
        </w:tblPrEx>
        <w:trPr>
          <w:trHeight w:val="1273"/>
        </w:trPr>
        <w:tc>
          <w:tcPr>
            <w:tcW w:w="1439" w:type="dxa"/>
          </w:tcPr>
          <w:p>
            <w:pPr>
              <w:pStyle w:val="TableParagraph"/>
              <w:rPr>
                <w:sz w:val="18"/>
              </w:rPr>
            </w:pPr>
          </w:p>
          <w:p>
            <w:pPr>
              <w:pStyle w:val="TableParagraph"/>
              <w:spacing w:before="124"/>
              <w:rPr>
                <w:sz w:val="18"/>
              </w:rPr>
            </w:pPr>
          </w:p>
          <w:p>
            <w:pPr>
              <w:pStyle w:val="TableParagraph"/>
              <w:ind w:left="107"/>
              <w:rPr>
                <w:sz w:val="18"/>
              </w:rPr>
            </w:pPr>
            <w:r>
              <w:rPr>
                <w:spacing w:val="-2"/>
                <w:sz w:val="16"/>
              </w:rPr>
              <w:t>Alarm „</w:t>
            </w:r>
            <w:r>
              <w:rPr>
                <w:spacing w:val="39"/>
                <w:sz w:val="16"/>
              </w:rPr>
              <w:t xml:space="preserve">  </w:t>
            </w:r>
            <w:r>
              <w:rPr>
                <w:spacing w:val="-2"/>
                <w:sz w:val="16"/>
              </w:rPr>
              <w:t xml:space="preserve"> “ (</w:t>
            </w:r>
            <w:r>
              <w:rPr>
                <w:sz w:val="16"/>
              </w:rPr>
              <w:t>Úplně prázdný)</w:t>
            </w:r>
          </w:p>
        </w:tc>
        <w:tc>
          <w:tcPr>
            <w:tcW w:w="2277" w:type="dxa"/>
          </w:tcPr>
          <w:p>
            <w:pPr>
              <w:pStyle w:val="TableParagraph"/>
              <w:spacing w:before="100"/>
              <w:rPr>
                <w:sz w:val="18"/>
              </w:rPr>
            </w:pPr>
          </w:p>
          <w:p>
            <w:pPr>
              <w:pStyle w:val="TableParagraph"/>
              <w:spacing w:before="1" w:line="266" w:lineRule="auto"/>
              <w:ind w:left="108" w:right="89"/>
              <w:rPr>
                <w:sz w:val="18"/>
              </w:rPr>
            </w:pPr>
            <w:r>
              <w:rPr>
                <w:sz w:val="16"/>
              </w:rPr>
              <w:t xml:space="preserve">Když </w:t>
            </w:r>
            <w:r>
              <w:rPr>
                <w:sz w:val="16"/>
              </w:rPr>
              <w:t xml:space="preserve">je </w:t>
            </w:r>
            <w:r>
              <w:rPr>
                <w:sz w:val="16"/>
              </w:rPr>
              <w:t xml:space="preserve">lék v injekční stříkačce </w:t>
            </w:r>
            <w:r>
              <w:rPr>
                <w:sz w:val="16"/>
              </w:rPr>
              <w:t xml:space="preserve">zcela </w:t>
            </w:r>
            <w:r>
              <w:rPr>
                <w:spacing w:val="-2"/>
                <w:sz w:val="16"/>
              </w:rPr>
              <w:t>vyčerpán.</w:t>
            </w:r>
          </w:p>
        </w:tc>
        <w:tc>
          <w:tcPr>
            <w:tcW w:w="3467" w:type="dxa"/>
          </w:tcPr>
          <w:p>
            <w:pPr>
              <w:pStyle w:val="TableParagraph"/>
              <w:spacing w:before="77" w:line="266" w:lineRule="auto"/>
              <w:ind w:left="108" w:right="111"/>
              <w:rPr>
                <w:sz w:val="18"/>
              </w:rPr>
            </w:pPr>
            <w:r>
              <w:rPr>
                <w:sz w:val="16"/>
              </w:rPr>
              <w:t xml:space="preserve">Stisknutím </w:t>
            </w:r>
            <w:r>
              <w:rPr>
                <w:sz w:val="16"/>
              </w:rPr>
              <w:t xml:space="preserve">tlačítka </w:t>
            </w:r>
            <w:r>
              <w:rPr>
                <w:sz w:val="16"/>
              </w:rPr>
              <w:t xml:space="preserve">„Audio </w:t>
            </w:r>
            <w:r>
              <w:rPr>
                <w:sz w:val="16"/>
              </w:rPr>
              <w:t xml:space="preserve">Paused“ (Zvuk pozastaven) </w:t>
            </w:r>
            <w:r>
              <w:rPr>
                <w:sz w:val="16"/>
              </w:rPr>
              <w:t>dočasně ztlumíte zvukový alarm. Stisknutím tlačítka „Alarm Reset/Clear“ (Resetovat/vymazat alarm) alarm zrušíte (zastaví se zvukový alarm, vymaže se displej a zhasne kontrolka alarmu).</w:t>
            </w:r>
          </w:p>
        </w:tc>
      </w:tr>
      <w:tr>
        <w:tblPrEx>
          <w:tblW w:w="0" w:type="auto"/>
          <w:tblInd w:w="183" w:type="dxa"/>
          <w:tblLayout w:type="fixed"/>
          <w:tblLook w:val="01E0"/>
        </w:tblPrEx>
        <w:trPr>
          <w:trHeight w:val="814"/>
        </w:trPr>
        <w:tc>
          <w:tcPr>
            <w:tcW w:w="1439" w:type="dxa"/>
          </w:tcPr>
          <w:p>
            <w:pPr>
              <w:pStyle w:val="TableParagraph"/>
              <w:spacing w:before="188" w:line="266" w:lineRule="auto"/>
              <w:ind w:left="107" w:right="459"/>
              <w:rPr>
                <w:sz w:val="18"/>
              </w:rPr>
            </w:pPr>
            <w:r>
              <w:rPr>
                <w:spacing w:val="-2"/>
                <w:sz w:val="16"/>
              </w:rPr>
              <w:t>Alarm „Dislocated“ (Vykloubení)</w:t>
            </w:r>
          </w:p>
        </w:tc>
        <w:tc>
          <w:tcPr>
            <w:tcW w:w="2277" w:type="dxa"/>
          </w:tcPr>
          <w:p>
            <w:pPr>
              <w:pStyle w:val="TableParagraph"/>
              <w:spacing w:before="192" w:line="266" w:lineRule="auto"/>
              <w:ind w:left="108" w:right="89"/>
              <w:rPr>
                <w:sz w:val="18"/>
              </w:rPr>
            </w:pPr>
            <w:r>
              <w:rPr>
                <w:sz w:val="16"/>
              </w:rPr>
              <w:t xml:space="preserve">Když </w:t>
            </w:r>
            <w:r>
              <w:rPr>
                <w:sz w:val="16"/>
              </w:rPr>
              <w:t xml:space="preserve">není </w:t>
            </w:r>
            <w:r>
              <w:rPr>
                <w:sz w:val="16"/>
              </w:rPr>
              <w:t xml:space="preserve">injekční </w:t>
            </w:r>
            <w:r>
              <w:rPr>
                <w:sz w:val="16"/>
              </w:rPr>
              <w:t xml:space="preserve">stříkačka </w:t>
            </w:r>
            <w:r>
              <w:rPr>
                <w:sz w:val="16"/>
              </w:rPr>
              <w:t xml:space="preserve">správně </w:t>
            </w:r>
            <w:r>
              <w:rPr>
                <w:sz w:val="16"/>
              </w:rPr>
              <w:t>nainstalována.</w:t>
            </w:r>
          </w:p>
        </w:tc>
        <w:tc>
          <w:tcPr>
            <w:tcW w:w="3467" w:type="dxa"/>
          </w:tcPr>
          <w:p>
            <w:pPr>
              <w:pStyle w:val="TableParagraph"/>
              <w:spacing w:before="77" w:line="266" w:lineRule="auto"/>
              <w:ind w:left="108" w:right="111"/>
              <w:rPr>
                <w:sz w:val="18"/>
              </w:rPr>
            </w:pPr>
            <w:r>
              <w:rPr>
                <w:sz w:val="16"/>
              </w:rPr>
              <w:t xml:space="preserve">Znovu </w:t>
            </w:r>
            <w:r>
              <w:rPr>
                <w:sz w:val="16"/>
              </w:rPr>
              <w:t xml:space="preserve">správně </w:t>
            </w:r>
            <w:r>
              <w:rPr>
                <w:sz w:val="16"/>
              </w:rPr>
              <w:t xml:space="preserve">nainstalujte </w:t>
            </w:r>
            <w:r>
              <w:rPr>
                <w:sz w:val="16"/>
              </w:rPr>
              <w:t>inj</w:t>
            </w:r>
            <w:r>
              <w:rPr>
                <w:sz w:val="16"/>
              </w:rPr>
              <w:t xml:space="preserve">ekční stříkačku </w:t>
            </w:r>
            <w:r>
              <w:rPr>
                <w:sz w:val="16"/>
              </w:rPr>
              <w:t xml:space="preserve">nebo </w:t>
            </w:r>
            <w:r>
              <w:rPr>
                <w:sz w:val="16"/>
              </w:rPr>
              <w:t xml:space="preserve">stiskněte </w:t>
            </w:r>
            <w:r>
              <w:rPr>
                <w:sz w:val="16"/>
              </w:rPr>
              <w:t xml:space="preserve">tlačítko „Alarm Reset/Clear“ (Resetování/vymazání alarmu), aby se </w:t>
            </w:r>
            <w:r>
              <w:rPr>
                <w:spacing w:val="-2"/>
                <w:sz w:val="16"/>
              </w:rPr>
              <w:t>alarm</w:t>
            </w:r>
            <w:r>
              <w:rPr>
                <w:sz w:val="16"/>
              </w:rPr>
              <w:t xml:space="preserve"> odstranil</w:t>
            </w:r>
            <w:r>
              <w:rPr>
                <w:spacing w:val="-2"/>
                <w:sz w:val="16"/>
              </w:rPr>
              <w:t>.</w:t>
            </w:r>
          </w:p>
        </w:tc>
      </w:tr>
      <w:tr>
        <w:tblPrEx>
          <w:tblW w:w="0" w:type="auto"/>
          <w:tblInd w:w="183" w:type="dxa"/>
          <w:tblLayout w:type="fixed"/>
          <w:tblLook w:val="01E0"/>
        </w:tblPrEx>
        <w:trPr>
          <w:trHeight w:val="813"/>
        </w:trPr>
        <w:tc>
          <w:tcPr>
            <w:tcW w:w="1439" w:type="dxa"/>
          </w:tcPr>
          <w:p>
            <w:pPr>
              <w:pStyle w:val="TableParagraph"/>
              <w:spacing w:before="189" w:line="266" w:lineRule="auto"/>
              <w:ind w:left="107" w:right="499"/>
              <w:rPr>
                <w:sz w:val="18"/>
              </w:rPr>
            </w:pPr>
            <w:r>
              <w:rPr>
                <w:spacing w:val="-2"/>
                <w:sz w:val="16"/>
              </w:rPr>
              <w:t>Alarm</w:t>
            </w:r>
            <w:r>
              <w:rPr>
                <w:sz w:val="16"/>
              </w:rPr>
              <w:t xml:space="preserve"> při uvolnění </w:t>
            </w:r>
            <w:r>
              <w:rPr>
                <w:sz w:val="16"/>
              </w:rPr>
              <w:t>rukojeti</w:t>
            </w:r>
          </w:p>
        </w:tc>
        <w:tc>
          <w:tcPr>
            <w:tcW w:w="2277" w:type="dxa"/>
          </w:tcPr>
          <w:p>
            <w:pPr>
              <w:pStyle w:val="TableParagraph"/>
              <w:spacing w:before="192" w:line="266" w:lineRule="auto"/>
              <w:ind w:left="108" w:right="89"/>
              <w:rPr>
                <w:sz w:val="18"/>
              </w:rPr>
            </w:pPr>
            <w:r>
              <w:rPr>
                <w:sz w:val="16"/>
              </w:rPr>
              <w:t xml:space="preserve">Když </w:t>
            </w:r>
            <w:r>
              <w:rPr>
                <w:sz w:val="16"/>
              </w:rPr>
              <w:t xml:space="preserve">není </w:t>
            </w:r>
            <w:r>
              <w:rPr>
                <w:sz w:val="16"/>
              </w:rPr>
              <w:t xml:space="preserve">injekční </w:t>
            </w:r>
            <w:r>
              <w:rPr>
                <w:sz w:val="16"/>
              </w:rPr>
              <w:t xml:space="preserve">stříkačka </w:t>
            </w:r>
            <w:r>
              <w:rPr>
                <w:sz w:val="16"/>
              </w:rPr>
              <w:t xml:space="preserve">správně </w:t>
            </w:r>
            <w:r>
              <w:rPr>
                <w:sz w:val="16"/>
              </w:rPr>
              <w:t>nainstalována.</w:t>
            </w:r>
          </w:p>
        </w:tc>
        <w:tc>
          <w:tcPr>
            <w:tcW w:w="3467" w:type="dxa"/>
          </w:tcPr>
          <w:p>
            <w:pPr>
              <w:pStyle w:val="TableParagraph"/>
              <w:spacing w:before="79" w:line="266" w:lineRule="auto"/>
              <w:ind w:left="108" w:right="111"/>
              <w:rPr>
                <w:sz w:val="18"/>
              </w:rPr>
            </w:pPr>
            <w:r>
              <w:rPr>
                <w:sz w:val="16"/>
              </w:rPr>
              <w:t xml:space="preserve">Znovu </w:t>
            </w:r>
            <w:r>
              <w:rPr>
                <w:sz w:val="16"/>
              </w:rPr>
              <w:t xml:space="preserve">správně </w:t>
            </w:r>
            <w:r>
              <w:rPr>
                <w:sz w:val="16"/>
              </w:rPr>
              <w:t xml:space="preserve">nainstalujte </w:t>
            </w:r>
            <w:r>
              <w:rPr>
                <w:sz w:val="16"/>
              </w:rPr>
              <w:t>inj</w:t>
            </w:r>
            <w:r>
              <w:rPr>
                <w:sz w:val="16"/>
              </w:rPr>
              <w:t xml:space="preserve">ekční stříkačku </w:t>
            </w:r>
            <w:r>
              <w:rPr>
                <w:sz w:val="16"/>
              </w:rPr>
              <w:t xml:space="preserve">nebo </w:t>
            </w:r>
            <w:r>
              <w:rPr>
                <w:sz w:val="16"/>
              </w:rPr>
              <w:t xml:space="preserve">stiskněte </w:t>
            </w:r>
            <w:r>
              <w:rPr>
                <w:sz w:val="16"/>
              </w:rPr>
              <w:t xml:space="preserve">tlačítko „Alarm Reset/Clear“ (Resetování/vymazání alarmu), aby se </w:t>
            </w:r>
            <w:r>
              <w:rPr>
                <w:spacing w:val="-2"/>
                <w:sz w:val="16"/>
              </w:rPr>
              <w:t>alarm</w:t>
            </w:r>
            <w:r>
              <w:rPr>
                <w:sz w:val="16"/>
              </w:rPr>
              <w:t xml:space="preserve"> vypnul</w:t>
            </w:r>
            <w:r>
              <w:rPr>
                <w:spacing w:val="-2"/>
                <w:sz w:val="16"/>
              </w:rPr>
              <w:t>.</w:t>
            </w:r>
          </w:p>
        </w:tc>
      </w:tr>
      <w:tr>
        <w:tblPrEx>
          <w:tblW w:w="0" w:type="auto"/>
          <w:tblInd w:w="183" w:type="dxa"/>
          <w:tblLayout w:type="fixed"/>
          <w:tblLook w:val="01E0"/>
        </w:tblPrEx>
        <w:trPr>
          <w:trHeight w:val="1964"/>
        </w:trPr>
        <w:tc>
          <w:tcPr>
            <w:tcW w:w="1439" w:type="dxa"/>
          </w:tcPr>
          <w:p>
            <w:pPr>
              <w:pStyle w:val="TableParagraph"/>
              <w:rPr>
                <w:sz w:val="18"/>
              </w:rPr>
            </w:pPr>
          </w:p>
          <w:p>
            <w:pPr>
              <w:pStyle w:val="TableParagraph"/>
              <w:rPr>
                <w:sz w:val="18"/>
              </w:rPr>
            </w:pPr>
          </w:p>
          <w:p>
            <w:pPr>
              <w:pStyle w:val="TableParagraph"/>
              <w:spacing w:before="143"/>
              <w:rPr>
                <w:sz w:val="18"/>
              </w:rPr>
            </w:pPr>
          </w:p>
          <w:p>
            <w:pPr>
              <w:pStyle w:val="TableParagraph"/>
              <w:spacing w:before="1" w:line="266" w:lineRule="auto"/>
              <w:ind w:left="107" w:right="459"/>
              <w:rPr>
                <w:sz w:val="18"/>
              </w:rPr>
            </w:pPr>
            <w:r>
              <w:rPr>
                <w:spacing w:val="-2"/>
                <w:sz w:val="16"/>
              </w:rPr>
              <w:t>Alarm „SyringeOff“</w:t>
            </w:r>
          </w:p>
        </w:tc>
        <w:tc>
          <w:tcPr>
            <w:tcW w:w="2277" w:type="dxa"/>
          </w:tcPr>
          <w:p>
            <w:pPr>
              <w:pStyle w:val="TableParagraph"/>
              <w:rPr>
                <w:sz w:val="18"/>
              </w:rPr>
            </w:pPr>
          </w:p>
          <w:p>
            <w:pPr>
              <w:pStyle w:val="TableParagraph"/>
              <w:rPr>
                <w:sz w:val="18"/>
              </w:rPr>
            </w:pPr>
          </w:p>
          <w:p>
            <w:pPr>
              <w:pStyle w:val="TableParagraph"/>
              <w:rPr>
                <w:sz w:val="18"/>
              </w:rPr>
            </w:pPr>
          </w:p>
          <w:p>
            <w:pPr>
              <w:pStyle w:val="TableParagraph"/>
              <w:spacing w:before="85"/>
              <w:rPr>
                <w:sz w:val="18"/>
              </w:rPr>
            </w:pPr>
          </w:p>
          <w:p>
            <w:pPr>
              <w:pStyle w:val="TableParagraph"/>
              <w:spacing w:line="266" w:lineRule="auto"/>
              <w:ind w:left="108" w:right="89"/>
              <w:rPr>
                <w:sz w:val="18"/>
              </w:rPr>
            </w:pPr>
            <w:r>
              <w:rPr>
                <w:sz w:val="16"/>
              </w:rPr>
              <w:t xml:space="preserve">Během </w:t>
            </w:r>
            <w:r>
              <w:rPr>
                <w:sz w:val="16"/>
              </w:rPr>
              <w:t xml:space="preserve">provozu, </w:t>
            </w:r>
            <w:r>
              <w:rPr>
                <w:sz w:val="16"/>
              </w:rPr>
              <w:t xml:space="preserve">pokud </w:t>
            </w:r>
            <w:r>
              <w:rPr>
                <w:sz w:val="16"/>
              </w:rPr>
              <w:t>je injekční stříkačka odstraněna.</w:t>
            </w:r>
          </w:p>
        </w:tc>
        <w:tc>
          <w:tcPr>
            <w:tcW w:w="3467" w:type="dxa"/>
          </w:tcPr>
          <w:p>
            <w:pPr>
              <w:pStyle w:val="TableParagraph"/>
              <w:spacing w:before="78" w:line="266" w:lineRule="auto"/>
              <w:ind w:left="108" w:right="111"/>
              <w:rPr>
                <w:sz w:val="18"/>
              </w:rPr>
            </w:pPr>
            <w:r>
              <w:rPr>
                <w:sz w:val="16"/>
              </w:rPr>
              <w:t xml:space="preserve">Stiskněte </w:t>
            </w:r>
            <w:r>
              <w:rPr>
                <w:sz w:val="16"/>
              </w:rPr>
              <w:t xml:space="preserve">tlačítko </w:t>
            </w:r>
            <w:r>
              <w:rPr>
                <w:sz w:val="16"/>
              </w:rPr>
              <w:t xml:space="preserve">„Audio </w:t>
            </w:r>
            <w:r>
              <w:rPr>
                <w:sz w:val="16"/>
              </w:rPr>
              <w:t>Paused“ (</w:t>
            </w:r>
            <w:r>
              <w:rPr>
                <w:sz w:val="16"/>
              </w:rPr>
              <w:t xml:space="preserve">Pozastavení zvuku), </w:t>
            </w:r>
            <w:r>
              <w:rPr>
                <w:sz w:val="16"/>
              </w:rPr>
              <w:t xml:space="preserve">aby </w:t>
            </w:r>
            <w:r>
              <w:rPr>
                <w:sz w:val="16"/>
              </w:rPr>
              <w:t xml:space="preserve">se alarm dočasně ztlumil. Znovu správně nainstalujte injekční stříkačku a stiskněte tlačítko „Alarm Reset/Clear“ (Resetování/vymazání alarmu), aby se alarm odstranil (což zastaví zvuk alarmu, vymaže displej </w:t>
            </w:r>
            <w:r>
              <w:rPr>
                <w:sz w:val="16"/>
              </w:rPr>
              <w:t xml:space="preserve">a vypne kontrolku alarmu). Pokud příčina </w:t>
            </w:r>
            <w:r>
              <w:rPr>
                <w:sz w:val="16"/>
              </w:rPr>
              <w:t xml:space="preserve">alarmu není </w:t>
            </w:r>
            <w:r>
              <w:rPr>
                <w:sz w:val="16"/>
              </w:rPr>
              <w:t>odstraněna, restartování alarm znovu spustí.</w:t>
            </w:r>
          </w:p>
        </w:tc>
      </w:tr>
      <w:tr>
        <w:tblPrEx>
          <w:tblW w:w="0" w:type="auto"/>
          <w:tblInd w:w="183" w:type="dxa"/>
          <w:tblLayout w:type="fixed"/>
          <w:tblLook w:val="01E0"/>
        </w:tblPrEx>
        <w:trPr>
          <w:trHeight w:val="1963"/>
        </w:trPr>
        <w:tc>
          <w:tcPr>
            <w:tcW w:w="1439" w:type="dxa"/>
          </w:tcPr>
          <w:p>
            <w:pPr>
              <w:pStyle w:val="TableParagraph"/>
              <w:rPr>
                <w:sz w:val="18"/>
              </w:rPr>
            </w:pPr>
          </w:p>
          <w:p>
            <w:pPr>
              <w:pStyle w:val="TableParagraph"/>
              <w:rPr>
                <w:sz w:val="18"/>
              </w:rPr>
            </w:pPr>
          </w:p>
          <w:p>
            <w:pPr>
              <w:pStyle w:val="TableParagraph"/>
              <w:spacing w:before="142"/>
              <w:rPr>
                <w:sz w:val="18"/>
              </w:rPr>
            </w:pPr>
          </w:p>
          <w:p>
            <w:pPr>
              <w:pStyle w:val="TableParagraph"/>
              <w:spacing w:line="266" w:lineRule="auto"/>
              <w:ind w:left="107" w:right="459"/>
              <w:rPr>
                <w:sz w:val="18"/>
              </w:rPr>
            </w:pPr>
            <w:r>
              <w:rPr>
                <w:spacing w:val="-2"/>
                <w:sz w:val="16"/>
              </w:rPr>
              <w:t>Alarm odpojení</w:t>
            </w:r>
          </w:p>
        </w:tc>
        <w:tc>
          <w:tcPr>
            <w:tcW w:w="2277" w:type="dxa"/>
          </w:tcPr>
          <w:p>
            <w:pPr>
              <w:pStyle w:val="TableParagraph"/>
              <w:rPr>
                <w:sz w:val="18"/>
              </w:rPr>
            </w:pPr>
          </w:p>
          <w:p>
            <w:pPr>
              <w:pStyle w:val="TableParagraph"/>
              <w:spacing w:before="123"/>
              <w:rPr>
                <w:sz w:val="18"/>
              </w:rPr>
            </w:pPr>
          </w:p>
          <w:p>
            <w:pPr>
              <w:pStyle w:val="TableParagraph"/>
              <w:spacing w:before="1" w:line="266" w:lineRule="auto"/>
              <w:ind w:left="108" w:right="89"/>
              <w:rPr>
                <w:sz w:val="18"/>
              </w:rPr>
            </w:pPr>
            <w:r>
              <w:rPr>
                <w:sz w:val="16"/>
              </w:rPr>
              <w:t xml:space="preserve">Pokud </w:t>
            </w:r>
            <w:r>
              <w:rPr>
                <w:sz w:val="16"/>
              </w:rPr>
              <w:t xml:space="preserve">není </w:t>
            </w:r>
            <w:r>
              <w:rPr>
                <w:sz w:val="16"/>
              </w:rPr>
              <w:t xml:space="preserve">píst </w:t>
            </w:r>
            <w:r>
              <w:rPr>
                <w:sz w:val="16"/>
              </w:rPr>
              <w:t xml:space="preserve">injekční stříkačky </w:t>
            </w:r>
            <w:r>
              <w:rPr>
                <w:sz w:val="16"/>
              </w:rPr>
              <w:t>správně umístěn v drážce pístu nebo není upevněn svorkou.</w:t>
            </w:r>
          </w:p>
        </w:tc>
        <w:tc>
          <w:tcPr>
            <w:tcW w:w="3467" w:type="dxa"/>
          </w:tcPr>
          <w:p>
            <w:pPr>
              <w:pStyle w:val="TableParagraph"/>
              <w:spacing w:before="77" w:line="266" w:lineRule="auto"/>
              <w:ind w:left="108" w:right="111"/>
              <w:rPr>
                <w:sz w:val="18"/>
              </w:rPr>
            </w:pPr>
            <w:r>
              <w:rPr>
                <w:sz w:val="16"/>
              </w:rPr>
              <w:t xml:space="preserve">Stiskněte </w:t>
            </w:r>
            <w:r>
              <w:rPr>
                <w:sz w:val="16"/>
              </w:rPr>
              <w:t xml:space="preserve">tlačítko </w:t>
            </w:r>
            <w:r>
              <w:rPr>
                <w:sz w:val="16"/>
              </w:rPr>
              <w:t xml:space="preserve">„Audio </w:t>
            </w:r>
            <w:r>
              <w:rPr>
                <w:sz w:val="16"/>
              </w:rPr>
              <w:t>Paused“ (</w:t>
            </w:r>
            <w:r>
              <w:rPr>
                <w:sz w:val="16"/>
              </w:rPr>
              <w:t xml:space="preserve">Zvuk </w:t>
            </w:r>
            <w:r>
              <w:rPr>
                <w:sz w:val="16"/>
              </w:rPr>
              <w:t xml:space="preserve">pozastaven) </w:t>
            </w:r>
            <w:r>
              <w:rPr>
                <w:sz w:val="16"/>
              </w:rPr>
              <w:t xml:space="preserve">pro </w:t>
            </w:r>
            <w:r>
              <w:rPr>
                <w:sz w:val="16"/>
              </w:rPr>
              <w:t xml:space="preserve">dočasné ztlumení zvukového alarmu. Znovu správně nainstalujte injekční stříkačku a stiskněte tlačítko „Alarm Reset/Clear“ (Resetování/vymazání alarmu) pro odstranění alarmu (což zastaví zvukový alarm, vymaže displej </w:t>
            </w:r>
            <w:r>
              <w:rPr>
                <w:sz w:val="16"/>
              </w:rPr>
              <w:t xml:space="preserve">a vypne kontrolku alarmu). Pokud příčina </w:t>
            </w:r>
            <w:r>
              <w:rPr>
                <w:sz w:val="16"/>
              </w:rPr>
              <w:t xml:space="preserve">alarmu není </w:t>
            </w:r>
            <w:r>
              <w:rPr>
                <w:sz w:val="16"/>
              </w:rPr>
              <w:t>odstraněna, restartování znovu spustí alarm.</w:t>
            </w:r>
          </w:p>
        </w:tc>
      </w:tr>
      <w:tr>
        <w:tblPrEx>
          <w:tblW w:w="0" w:type="auto"/>
          <w:tblInd w:w="183" w:type="dxa"/>
          <w:tblLayout w:type="fixed"/>
          <w:tblLook w:val="01E0"/>
        </w:tblPrEx>
        <w:trPr>
          <w:trHeight w:val="1961"/>
        </w:trPr>
        <w:tc>
          <w:tcPr>
            <w:tcW w:w="1439" w:type="dxa"/>
          </w:tcPr>
          <w:p>
            <w:pPr>
              <w:pStyle w:val="TableParagraph"/>
              <w:rPr>
                <w:sz w:val="18"/>
              </w:rPr>
            </w:pPr>
          </w:p>
          <w:p>
            <w:pPr>
              <w:pStyle w:val="TableParagraph"/>
              <w:rPr>
                <w:sz w:val="18"/>
              </w:rPr>
            </w:pPr>
          </w:p>
          <w:p>
            <w:pPr>
              <w:pStyle w:val="TableParagraph"/>
              <w:spacing w:before="143"/>
              <w:rPr>
                <w:sz w:val="18"/>
              </w:rPr>
            </w:pPr>
          </w:p>
          <w:p>
            <w:pPr>
              <w:pStyle w:val="TableParagraph"/>
              <w:spacing w:before="1" w:line="266" w:lineRule="auto"/>
              <w:ind w:left="107" w:right="449"/>
              <w:rPr>
                <w:sz w:val="18"/>
              </w:rPr>
            </w:pPr>
            <w:r>
              <w:rPr>
                <w:sz w:val="16"/>
              </w:rPr>
              <w:t xml:space="preserve">Chyba </w:t>
            </w:r>
            <w:r>
              <w:rPr>
                <w:spacing w:val="-2"/>
                <w:sz w:val="16"/>
              </w:rPr>
              <w:t>značky</w:t>
            </w:r>
          </w:p>
        </w:tc>
        <w:tc>
          <w:tcPr>
            <w:tcW w:w="2277" w:type="dxa"/>
          </w:tcPr>
          <w:p>
            <w:pPr>
              <w:pStyle w:val="TableParagraph"/>
              <w:rPr>
                <w:sz w:val="18"/>
              </w:rPr>
            </w:pPr>
          </w:p>
          <w:p>
            <w:pPr>
              <w:pStyle w:val="TableParagraph"/>
              <w:spacing w:before="9"/>
              <w:rPr>
                <w:sz w:val="18"/>
              </w:rPr>
            </w:pPr>
          </w:p>
          <w:p>
            <w:pPr>
              <w:pStyle w:val="TableParagraph"/>
              <w:spacing w:before="1" w:line="266" w:lineRule="auto"/>
              <w:ind w:left="108" w:right="167"/>
              <w:rPr>
                <w:sz w:val="18"/>
              </w:rPr>
            </w:pPr>
            <w:r>
              <w:rPr>
                <w:sz w:val="16"/>
              </w:rPr>
              <w:t xml:space="preserve">Když je při výběru </w:t>
            </w:r>
            <w:r>
              <w:rPr>
                <w:sz w:val="16"/>
              </w:rPr>
              <w:t>značky</w:t>
            </w:r>
            <w:r>
              <w:rPr>
                <w:sz w:val="16"/>
              </w:rPr>
              <w:t xml:space="preserve"> </w:t>
            </w:r>
            <w:r>
              <w:rPr>
                <w:sz w:val="16"/>
              </w:rPr>
              <w:t xml:space="preserve">injekční stříkačky </w:t>
            </w:r>
            <w:r>
              <w:rPr>
                <w:sz w:val="16"/>
              </w:rPr>
              <w:t xml:space="preserve">vybrána nekalibrovaná injekční stříkačka </w:t>
            </w:r>
            <w:r>
              <w:rPr>
                <w:sz w:val="16"/>
              </w:rPr>
              <w:t xml:space="preserve">a poté je </w:t>
            </w:r>
            <w:r>
              <w:rPr>
                <w:spacing w:val="-2"/>
                <w:sz w:val="16"/>
              </w:rPr>
              <w:t>spuštěno</w:t>
            </w:r>
            <w:r>
              <w:rPr>
                <w:sz w:val="16"/>
              </w:rPr>
              <w:t xml:space="preserve"> čerpadlo</w:t>
            </w:r>
            <w:r>
              <w:rPr>
                <w:spacing w:val="-2"/>
                <w:sz w:val="16"/>
              </w:rPr>
              <w:t>.</w:t>
            </w:r>
          </w:p>
        </w:tc>
        <w:tc>
          <w:tcPr>
            <w:tcW w:w="3467" w:type="dxa"/>
          </w:tcPr>
          <w:p>
            <w:pPr>
              <w:pStyle w:val="TableParagraph"/>
              <w:spacing w:before="78" w:line="266" w:lineRule="auto"/>
              <w:ind w:left="108" w:right="111"/>
              <w:rPr>
                <w:sz w:val="18"/>
              </w:rPr>
            </w:pPr>
            <w:r>
              <w:rPr>
                <w:sz w:val="16"/>
              </w:rPr>
              <w:t xml:space="preserve">Stiskněte </w:t>
            </w:r>
            <w:r>
              <w:rPr>
                <w:sz w:val="16"/>
              </w:rPr>
              <w:t xml:space="preserve">tlačítko </w:t>
            </w:r>
            <w:r>
              <w:rPr>
                <w:sz w:val="16"/>
              </w:rPr>
              <w:t xml:space="preserve">„Audio </w:t>
            </w:r>
            <w:r>
              <w:rPr>
                <w:sz w:val="16"/>
              </w:rPr>
              <w:t>Paused“ (Z</w:t>
            </w:r>
            <w:r>
              <w:rPr>
                <w:sz w:val="16"/>
              </w:rPr>
              <w:t xml:space="preserve">vuk </w:t>
            </w:r>
            <w:r>
              <w:rPr>
                <w:sz w:val="16"/>
              </w:rPr>
              <w:t xml:space="preserve">pozastaven), </w:t>
            </w:r>
            <w:r>
              <w:rPr>
                <w:sz w:val="16"/>
              </w:rPr>
              <w:t xml:space="preserve">aby </w:t>
            </w:r>
            <w:r>
              <w:rPr>
                <w:sz w:val="16"/>
              </w:rPr>
              <w:t xml:space="preserve">se dočasně ztlumil zvuk alarmu. Vyberte kalibrovanou značku injekční stříkačky a stiskněte tlačítko „Alarm Reset/Clear“ (Resetování/vymazání alarmu), aby se alarm odstranil (zastaví se zvuk alarmu, vymaže se displej </w:t>
            </w:r>
            <w:r>
              <w:rPr>
                <w:sz w:val="16"/>
              </w:rPr>
              <w:t>a vypne se kontrolka alarmu). Pokud příčina alarmu není odstraněna, restartování spustí alarm znovu.</w:t>
            </w:r>
          </w:p>
        </w:tc>
      </w:tr>
    </w:tbl>
    <w:p>
      <w:pPr>
        <w:pStyle w:val="TableParagraph"/>
        <w:spacing w:after="0" w:line="266" w:lineRule="auto"/>
        <w:rPr>
          <w:sz w:val="18"/>
        </w:rPr>
        <w:sectPr>
          <w:type w:val="continuous"/>
          <w:pgSz w:w="8390" w:h="11910"/>
          <w:pgMar w:top="700" w:right="425" w:bottom="540" w:left="425" w:header="0" w:footer="342"/>
          <w:cols w:space="708"/>
        </w:sectPr>
      </w:pPr>
    </w:p>
    <w:tbl>
      <w:tblPr>
        <w:tblStyle w:val="TableNormal"/>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9"/>
        <w:gridCol w:w="2277"/>
        <w:gridCol w:w="3467"/>
      </w:tblGrid>
      <w:tr>
        <w:tblPrEx>
          <w:tblW w:w="0" w:type="auto"/>
          <w:tblInd w:w="183" w:type="dxa"/>
          <w:tblLayout w:type="fixed"/>
          <w:tblLook w:val="01E0"/>
        </w:tblPrEx>
        <w:trPr>
          <w:trHeight w:val="2092"/>
        </w:trPr>
        <w:tc>
          <w:tcPr>
            <w:tcW w:w="143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line="266" w:lineRule="auto"/>
              <w:ind w:left="107"/>
              <w:rPr>
                <w:sz w:val="18"/>
              </w:rPr>
            </w:pPr>
            <w:r>
              <w:rPr>
                <w:sz w:val="16"/>
              </w:rPr>
              <w:t>Porucha</w:t>
            </w:r>
            <w:r>
              <w:rPr>
                <w:spacing w:val="-2"/>
                <w:sz w:val="16"/>
              </w:rPr>
              <w:t xml:space="preserve"> komunikace </w:t>
            </w:r>
            <w:r>
              <w:rPr>
                <w:sz w:val="16"/>
              </w:rPr>
              <w:t>Alarm</w:t>
            </w:r>
          </w:p>
        </w:tc>
        <w:tc>
          <w:tcPr>
            <w:tcW w:w="2277" w:type="dxa"/>
          </w:tcPr>
          <w:p>
            <w:pPr>
              <w:pStyle w:val="TableParagraph"/>
              <w:rPr>
                <w:sz w:val="18"/>
              </w:rPr>
            </w:pPr>
          </w:p>
          <w:p>
            <w:pPr>
              <w:pStyle w:val="TableParagraph"/>
              <w:spacing w:before="73"/>
              <w:rPr>
                <w:sz w:val="18"/>
              </w:rPr>
            </w:pPr>
          </w:p>
          <w:p>
            <w:pPr>
              <w:pStyle w:val="TableParagraph"/>
              <w:spacing w:before="1" w:line="266" w:lineRule="auto"/>
              <w:ind w:left="108" w:right="89"/>
              <w:rPr>
                <w:sz w:val="18"/>
              </w:rPr>
            </w:pPr>
            <w:r>
              <w:rPr>
                <w:sz w:val="16"/>
              </w:rPr>
              <w:t xml:space="preserve">Přístroj je ve </w:t>
            </w:r>
            <w:r>
              <w:rPr>
                <w:sz w:val="16"/>
              </w:rPr>
              <w:t>stavu</w:t>
            </w:r>
            <w:r>
              <w:rPr>
                <w:sz w:val="16"/>
              </w:rPr>
              <w:t xml:space="preserve"> komunikace </w:t>
            </w:r>
            <w:r>
              <w:rPr>
                <w:sz w:val="16"/>
              </w:rPr>
              <w:t>a alarm se spustí</w:t>
            </w:r>
            <w:r>
              <w:rPr>
                <w:sz w:val="16"/>
              </w:rPr>
              <w:t>,</w:t>
            </w:r>
            <w:r>
              <w:rPr>
                <w:sz w:val="16"/>
              </w:rPr>
              <w:t xml:space="preserve"> když </w:t>
            </w:r>
            <w:r>
              <w:rPr>
                <w:sz w:val="16"/>
              </w:rPr>
              <w:t>dojde k selhání</w:t>
            </w:r>
            <w:r>
              <w:rPr>
                <w:sz w:val="16"/>
              </w:rPr>
              <w:t xml:space="preserve"> komunikace </w:t>
            </w:r>
            <w:r>
              <w:rPr>
                <w:sz w:val="16"/>
              </w:rPr>
              <w:t>během provozu</w:t>
            </w:r>
            <w:r>
              <w:rPr>
                <w:sz w:val="16"/>
              </w:rPr>
              <w:t>.</w:t>
            </w:r>
          </w:p>
        </w:tc>
        <w:tc>
          <w:tcPr>
            <w:tcW w:w="3467" w:type="dxa"/>
          </w:tcPr>
          <w:p>
            <w:pPr>
              <w:pStyle w:val="TableParagraph"/>
              <w:spacing w:before="142" w:line="266" w:lineRule="auto"/>
              <w:ind w:left="108" w:right="111"/>
              <w:rPr>
                <w:sz w:val="18"/>
              </w:rPr>
            </w:pPr>
            <w:r>
              <w:rPr>
                <w:sz w:val="16"/>
              </w:rPr>
              <w:t xml:space="preserve">Stisknutím </w:t>
            </w:r>
            <w:r>
              <w:rPr>
                <w:sz w:val="16"/>
              </w:rPr>
              <w:t xml:space="preserve">tlačítka </w:t>
            </w:r>
            <w:r>
              <w:rPr>
                <w:sz w:val="16"/>
              </w:rPr>
              <w:t xml:space="preserve">„Audio </w:t>
            </w:r>
            <w:r>
              <w:rPr>
                <w:sz w:val="16"/>
              </w:rPr>
              <w:t xml:space="preserve">Paused“ (Zvuk pozastaven) </w:t>
            </w:r>
            <w:r>
              <w:rPr>
                <w:sz w:val="16"/>
              </w:rPr>
              <w:t xml:space="preserve">dočasně ztlumíte zvukový alarm. Znovu správně nainstalujte injekční stříkačku a stisknutím tlačítka „Alarm Reset/Clear“ (Resetovat/vymazat alarm) alarm zrušíte (zastaví se zvukový alarm, vymaže se displej </w:t>
            </w:r>
            <w:r>
              <w:rPr>
                <w:sz w:val="16"/>
              </w:rPr>
              <w:t xml:space="preserve">a zhasne kontrolka alarmu). Pokud příčina </w:t>
            </w:r>
            <w:r>
              <w:rPr>
                <w:sz w:val="16"/>
              </w:rPr>
              <w:t xml:space="preserve">alarmu není </w:t>
            </w:r>
            <w:r>
              <w:rPr>
                <w:sz w:val="16"/>
              </w:rPr>
              <w:t>odstraněna, restartování zařízení alarm znovu spustí.</w:t>
            </w:r>
          </w:p>
        </w:tc>
      </w:tr>
      <w:tr>
        <w:tblPrEx>
          <w:tblW w:w="0" w:type="auto"/>
          <w:tblInd w:w="183" w:type="dxa"/>
          <w:tblLayout w:type="fixed"/>
          <w:tblLook w:val="01E0"/>
        </w:tblPrEx>
        <w:trPr>
          <w:trHeight w:val="1043"/>
        </w:trPr>
        <w:tc>
          <w:tcPr>
            <w:tcW w:w="1439" w:type="dxa"/>
          </w:tcPr>
          <w:p>
            <w:pPr>
              <w:pStyle w:val="TableParagraph"/>
              <w:spacing w:before="96"/>
              <w:rPr>
                <w:sz w:val="18"/>
              </w:rPr>
            </w:pPr>
          </w:p>
          <w:p>
            <w:pPr>
              <w:pStyle w:val="TableParagraph"/>
              <w:spacing w:line="266" w:lineRule="auto"/>
              <w:ind w:left="107" w:right="279"/>
              <w:rPr>
                <w:sz w:val="18"/>
              </w:rPr>
            </w:pPr>
            <w:r>
              <w:rPr>
                <w:spacing w:val="-2"/>
                <w:sz w:val="16"/>
              </w:rPr>
              <w:t>Alarm</w:t>
            </w:r>
            <w:r>
              <w:rPr>
                <w:sz w:val="16"/>
              </w:rPr>
              <w:t xml:space="preserve"> chyby </w:t>
            </w:r>
            <w:r>
              <w:rPr>
                <w:sz w:val="16"/>
              </w:rPr>
              <w:t>tlaku</w:t>
            </w:r>
          </w:p>
        </w:tc>
        <w:tc>
          <w:tcPr>
            <w:tcW w:w="2277" w:type="dxa"/>
          </w:tcPr>
          <w:p>
            <w:pPr>
              <w:pStyle w:val="TableParagraph"/>
              <w:rPr>
                <w:sz w:val="18"/>
              </w:rPr>
            </w:pPr>
          </w:p>
          <w:p>
            <w:pPr>
              <w:pStyle w:val="TableParagraph"/>
              <w:spacing w:before="9"/>
              <w:rPr>
                <w:sz w:val="18"/>
              </w:rPr>
            </w:pPr>
          </w:p>
          <w:p>
            <w:pPr>
              <w:pStyle w:val="TableParagraph"/>
              <w:ind w:left="108"/>
              <w:rPr>
                <w:sz w:val="18"/>
              </w:rPr>
            </w:pPr>
            <w:r>
              <w:rPr>
                <w:spacing w:val="-2"/>
                <w:sz w:val="16"/>
              </w:rPr>
              <w:t xml:space="preserve">Poškození </w:t>
            </w:r>
            <w:r>
              <w:rPr>
                <w:sz w:val="16"/>
              </w:rPr>
              <w:t xml:space="preserve">tlakového </w:t>
            </w:r>
            <w:r>
              <w:rPr>
                <w:sz w:val="16"/>
              </w:rPr>
              <w:t>senzoru</w:t>
            </w:r>
          </w:p>
        </w:tc>
        <w:tc>
          <w:tcPr>
            <w:tcW w:w="3467" w:type="dxa"/>
          </w:tcPr>
          <w:p>
            <w:pPr>
              <w:pStyle w:val="TableParagraph"/>
              <w:spacing w:before="78" w:line="266" w:lineRule="auto"/>
              <w:ind w:left="108" w:right="111"/>
              <w:rPr>
                <w:sz w:val="18"/>
              </w:rPr>
            </w:pPr>
            <w:r>
              <w:rPr>
                <w:sz w:val="16"/>
              </w:rPr>
              <w:t xml:space="preserve">Restartujte </w:t>
            </w:r>
            <w:r>
              <w:rPr>
                <w:sz w:val="16"/>
              </w:rPr>
              <w:t xml:space="preserve">injekční </w:t>
            </w:r>
            <w:r>
              <w:rPr>
                <w:sz w:val="16"/>
              </w:rPr>
              <w:t>pumpu</w:t>
            </w:r>
            <w:r>
              <w:rPr>
                <w:sz w:val="16"/>
              </w:rPr>
              <w:t xml:space="preserve">, </w:t>
            </w:r>
            <w:r>
              <w:rPr>
                <w:sz w:val="16"/>
              </w:rPr>
              <w:t xml:space="preserve">zkontrolujte </w:t>
            </w:r>
            <w:r>
              <w:rPr>
                <w:sz w:val="16"/>
              </w:rPr>
              <w:t>parametry a restartujte injekci. Pokud se alarm opakuje, kontaktujte výrobce za účelem kontroly a opravy.</w:t>
            </w:r>
          </w:p>
        </w:tc>
      </w:tr>
      <w:tr>
        <w:tblPrEx>
          <w:tblW w:w="0" w:type="auto"/>
          <w:tblInd w:w="183" w:type="dxa"/>
          <w:tblLayout w:type="fixed"/>
          <w:tblLook w:val="01E0"/>
        </w:tblPrEx>
        <w:trPr>
          <w:trHeight w:val="1044"/>
        </w:trPr>
        <w:tc>
          <w:tcPr>
            <w:tcW w:w="1439"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1"/>
              <w:rPr>
                <w:sz w:val="18"/>
              </w:rPr>
            </w:pPr>
          </w:p>
          <w:p>
            <w:pPr>
              <w:pStyle w:val="TableParagraph"/>
              <w:spacing w:before="1" w:line="266" w:lineRule="auto"/>
              <w:ind w:left="107" w:right="389"/>
              <w:rPr>
                <w:sz w:val="18"/>
              </w:rPr>
            </w:pPr>
            <w:r>
              <w:rPr>
                <w:spacing w:val="-2"/>
                <w:sz w:val="16"/>
              </w:rPr>
              <w:t>Alarm poruchy</w:t>
            </w:r>
          </w:p>
        </w:tc>
        <w:tc>
          <w:tcPr>
            <w:tcW w:w="2277" w:type="dxa"/>
          </w:tcPr>
          <w:p>
            <w:pPr>
              <w:pStyle w:val="TableParagraph"/>
              <w:spacing w:before="192" w:line="266" w:lineRule="auto"/>
              <w:ind w:left="108" w:right="89"/>
              <w:rPr>
                <w:sz w:val="18"/>
              </w:rPr>
            </w:pPr>
            <w:r>
              <w:rPr>
                <w:sz w:val="16"/>
              </w:rPr>
              <w:t xml:space="preserve">1. 0xE0: </w:t>
            </w:r>
            <w:r>
              <w:rPr>
                <w:sz w:val="16"/>
              </w:rPr>
              <w:t xml:space="preserve">Chyba </w:t>
            </w:r>
            <w:r>
              <w:rPr>
                <w:sz w:val="16"/>
              </w:rPr>
              <w:t xml:space="preserve">datové komunikace </w:t>
            </w:r>
            <w:r>
              <w:rPr>
                <w:sz w:val="16"/>
              </w:rPr>
              <w:t xml:space="preserve">v </w:t>
            </w:r>
            <w:r>
              <w:rPr>
                <w:sz w:val="16"/>
              </w:rPr>
              <w:t>injekční pumpě.</w:t>
            </w:r>
          </w:p>
        </w:tc>
        <w:tc>
          <w:tcPr>
            <w:tcW w:w="3467" w:type="dxa"/>
          </w:tcPr>
          <w:p>
            <w:pPr>
              <w:pStyle w:val="TableParagraph"/>
              <w:spacing w:before="77" w:line="266" w:lineRule="auto"/>
              <w:ind w:left="108" w:right="111"/>
              <w:rPr>
                <w:sz w:val="18"/>
              </w:rPr>
            </w:pPr>
            <w:r>
              <w:rPr>
                <w:sz w:val="16"/>
              </w:rPr>
              <w:t xml:space="preserve">Restartujte </w:t>
            </w:r>
            <w:r>
              <w:rPr>
                <w:sz w:val="16"/>
              </w:rPr>
              <w:t xml:space="preserve">injekční </w:t>
            </w:r>
            <w:r>
              <w:rPr>
                <w:sz w:val="16"/>
              </w:rPr>
              <w:t>pumpu</w:t>
            </w:r>
            <w:r>
              <w:rPr>
                <w:sz w:val="16"/>
              </w:rPr>
              <w:t xml:space="preserve">, </w:t>
            </w:r>
            <w:r>
              <w:rPr>
                <w:sz w:val="16"/>
              </w:rPr>
              <w:t xml:space="preserve">zkontrolujte </w:t>
            </w:r>
            <w:r>
              <w:rPr>
                <w:sz w:val="16"/>
              </w:rPr>
              <w:t>parametry a restartujte injekci. Pokud se alarm opakuje, kontaktujte výrobce za účelem kontroly a opravy.</w:t>
            </w:r>
          </w:p>
        </w:tc>
      </w:tr>
      <w:tr>
        <w:tblPrEx>
          <w:tblW w:w="0" w:type="auto"/>
          <w:tblInd w:w="183" w:type="dxa"/>
          <w:tblLayout w:type="fixed"/>
          <w:tblLook w:val="01E0"/>
        </w:tblPrEx>
        <w:trPr>
          <w:trHeight w:val="1043"/>
        </w:trPr>
        <w:tc>
          <w:tcPr>
            <w:tcW w:w="1439" w:type="dxa"/>
            <w:vMerge/>
            <w:tcBorders>
              <w:top w:val="nil"/>
            </w:tcBorders>
          </w:tcPr>
          <w:p>
            <w:pPr>
              <w:rPr>
                <w:sz w:val="2"/>
                <w:szCs w:val="2"/>
              </w:rPr>
            </w:pPr>
          </w:p>
        </w:tc>
        <w:tc>
          <w:tcPr>
            <w:tcW w:w="2277" w:type="dxa"/>
          </w:tcPr>
          <w:p>
            <w:pPr>
              <w:pStyle w:val="TableParagraph"/>
              <w:spacing w:before="192" w:line="266" w:lineRule="auto"/>
              <w:ind w:left="108" w:right="89"/>
              <w:rPr>
                <w:sz w:val="18"/>
              </w:rPr>
            </w:pPr>
            <w:r>
              <w:rPr>
                <w:sz w:val="16"/>
              </w:rPr>
              <w:t>2</w:t>
            </w:r>
            <w:r>
              <w:rPr>
                <w:sz w:val="16"/>
              </w:rPr>
              <w:t xml:space="preserve">. 0xE1: Porucha v přenosové </w:t>
            </w:r>
            <w:r>
              <w:rPr>
                <w:sz w:val="16"/>
              </w:rPr>
              <w:t xml:space="preserve">části </w:t>
            </w:r>
            <w:r>
              <w:rPr>
                <w:sz w:val="16"/>
              </w:rPr>
              <w:t>injekční pumpy.</w:t>
            </w:r>
          </w:p>
        </w:tc>
        <w:tc>
          <w:tcPr>
            <w:tcW w:w="3467" w:type="dxa"/>
          </w:tcPr>
          <w:p>
            <w:pPr>
              <w:pStyle w:val="TableParagraph"/>
              <w:spacing w:before="77" w:line="266" w:lineRule="auto"/>
              <w:ind w:left="108" w:right="111"/>
              <w:rPr>
                <w:sz w:val="18"/>
              </w:rPr>
            </w:pPr>
            <w:r>
              <w:rPr>
                <w:sz w:val="16"/>
              </w:rPr>
              <w:t xml:space="preserve">Restartujte </w:t>
            </w:r>
            <w:r>
              <w:rPr>
                <w:sz w:val="16"/>
              </w:rPr>
              <w:t xml:space="preserve">injekční </w:t>
            </w:r>
            <w:r>
              <w:rPr>
                <w:sz w:val="16"/>
              </w:rPr>
              <w:t>pumpu</w:t>
            </w:r>
            <w:r>
              <w:rPr>
                <w:sz w:val="16"/>
              </w:rPr>
              <w:t xml:space="preserve">, </w:t>
            </w:r>
            <w:r>
              <w:rPr>
                <w:sz w:val="16"/>
              </w:rPr>
              <w:t xml:space="preserve">zkontrolujte </w:t>
            </w:r>
            <w:r>
              <w:rPr>
                <w:sz w:val="16"/>
              </w:rPr>
              <w:t>parametry a restartujte injekci. Pokud se alarm opakuje, kontaktujte výrobce za účelem kontroly a opravy.</w:t>
            </w:r>
          </w:p>
        </w:tc>
      </w:tr>
      <w:tr>
        <w:tblPrEx>
          <w:tblW w:w="0" w:type="auto"/>
          <w:tblInd w:w="183" w:type="dxa"/>
          <w:tblLayout w:type="fixed"/>
          <w:tblLook w:val="01E0"/>
        </w:tblPrEx>
        <w:trPr>
          <w:trHeight w:val="1043"/>
        </w:trPr>
        <w:tc>
          <w:tcPr>
            <w:tcW w:w="1439" w:type="dxa"/>
            <w:vMerge/>
            <w:tcBorders>
              <w:top w:val="nil"/>
            </w:tcBorders>
          </w:tcPr>
          <w:p>
            <w:pPr>
              <w:rPr>
                <w:sz w:val="2"/>
                <w:szCs w:val="2"/>
              </w:rPr>
            </w:pPr>
          </w:p>
        </w:tc>
        <w:tc>
          <w:tcPr>
            <w:tcW w:w="2277" w:type="dxa"/>
          </w:tcPr>
          <w:p>
            <w:pPr>
              <w:pStyle w:val="TableParagraph"/>
              <w:spacing w:before="100"/>
              <w:rPr>
                <w:sz w:val="18"/>
              </w:rPr>
            </w:pPr>
          </w:p>
          <w:p>
            <w:pPr>
              <w:pStyle w:val="TableParagraph"/>
              <w:spacing w:line="266" w:lineRule="auto"/>
              <w:ind w:left="108" w:right="451"/>
              <w:rPr>
                <w:sz w:val="18"/>
              </w:rPr>
            </w:pPr>
            <w:r>
              <w:rPr>
                <w:sz w:val="16"/>
              </w:rPr>
              <w:t>3.</w:t>
            </w:r>
            <w:r>
              <w:rPr>
                <w:sz w:val="16"/>
              </w:rPr>
              <w:t xml:space="preserve"> 0xE2: </w:t>
            </w:r>
            <w:r>
              <w:rPr>
                <w:spacing w:val="-2"/>
                <w:sz w:val="16"/>
              </w:rPr>
              <w:t xml:space="preserve">Porucha </w:t>
            </w:r>
            <w:r>
              <w:rPr>
                <w:sz w:val="16"/>
              </w:rPr>
              <w:t xml:space="preserve">motoru </w:t>
            </w:r>
            <w:r>
              <w:rPr>
                <w:sz w:val="16"/>
              </w:rPr>
              <w:t xml:space="preserve">injekční </w:t>
            </w:r>
            <w:r>
              <w:rPr>
                <w:sz w:val="16"/>
              </w:rPr>
              <w:t>pumpy</w:t>
            </w:r>
            <w:r>
              <w:rPr>
                <w:spacing w:val="-2"/>
                <w:sz w:val="16"/>
              </w:rPr>
              <w:t>.</w:t>
            </w:r>
          </w:p>
        </w:tc>
        <w:tc>
          <w:tcPr>
            <w:tcW w:w="3467" w:type="dxa"/>
          </w:tcPr>
          <w:p>
            <w:pPr>
              <w:pStyle w:val="TableParagraph"/>
              <w:spacing w:before="79" w:line="266" w:lineRule="auto"/>
              <w:ind w:left="108" w:right="111"/>
              <w:rPr>
                <w:sz w:val="18"/>
              </w:rPr>
            </w:pPr>
            <w:r>
              <w:rPr>
                <w:sz w:val="16"/>
              </w:rPr>
              <w:t xml:space="preserve">Restartujte </w:t>
            </w:r>
            <w:r>
              <w:rPr>
                <w:sz w:val="16"/>
              </w:rPr>
              <w:t xml:space="preserve">injekční </w:t>
            </w:r>
            <w:r>
              <w:rPr>
                <w:sz w:val="16"/>
              </w:rPr>
              <w:t>pumpu</w:t>
            </w:r>
            <w:r>
              <w:rPr>
                <w:sz w:val="16"/>
              </w:rPr>
              <w:t xml:space="preserve">, </w:t>
            </w:r>
            <w:r>
              <w:rPr>
                <w:sz w:val="16"/>
              </w:rPr>
              <w:t xml:space="preserve">zkontrolujte </w:t>
            </w:r>
            <w:r>
              <w:rPr>
                <w:sz w:val="16"/>
              </w:rPr>
              <w:t>parametry a restartujte injekci. Pokud se alarm opakuje, kontaktujte výrobce za účelem kontroly a opravy.</w:t>
            </w:r>
          </w:p>
        </w:tc>
      </w:tr>
      <w:tr>
        <w:tblPrEx>
          <w:tblW w:w="0" w:type="auto"/>
          <w:tblInd w:w="183" w:type="dxa"/>
          <w:tblLayout w:type="fixed"/>
          <w:tblLook w:val="01E0"/>
        </w:tblPrEx>
        <w:trPr>
          <w:trHeight w:val="1273"/>
        </w:trPr>
        <w:tc>
          <w:tcPr>
            <w:tcW w:w="1439" w:type="dxa"/>
            <w:vMerge/>
            <w:tcBorders>
              <w:top w:val="nil"/>
            </w:tcBorders>
          </w:tcPr>
          <w:p>
            <w:pPr>
              <w:rPr>
                <w:sz w:val="2"/>
                <w:szCs w:val="2"/>
              </w:rPr>
            </w:pPr>
          </w:p>
        </w:tc>
        <w:tc>
          <w:tcPr>
            <w:tcW w:w="2277" w:type="dxa"/>
          </w:tcPr>
          <w:p>
            <w:pPr>
              <w:pStyle w:val="TableParagraph"/>
              <w:rPr>
                <w:sz w:val="18"/>
              </w:rPr>
            </w:pPr>
          </w:p>
          <w:p>
            <w:pPr>
              <w:pStyle w:val="TableParagraph"/>
              <w:spacing w:before="123"/>
              <w:rPr>
                <w:sz w:val="18"/>
              </w:rPr>
            </w:pPr>
          </w:p>
          <w:p>
            <w:pPr>
              <w:pStyle w:val="TableParagraph"/>
              <w:ind w:left="108"/>
              <w:rPr>
                <w:sz w:val="18"/>
              </w:rPr>
            </w:pPr>
            <w:r>
              <w:rPr>
                <w:sz w:val="16"/>
              </w:rPr>
              <w:t>4.</w:t>
            </w:r>
            <w:r>
              <w:rPr>
                <w:sz w:val="16"/>
              </w:rPr>
              <w:t xml:space="preserve"> 0xE3: </w:t>
            </w:r>
            <w:r>
              <w:rPr>
                <w:spacing w:val="-2"/>
                <w:sz w:val="16"/>
              </w:rPr>
              <w:t xml:space="preserve">Porucha </w:t>
            </w:r>
            <w:r>
              <w:rPr>
                <w:sz w:val="16"/>
              </w:rPr>
              <w:t xml:space="preserve">úložné </w:t>
            </w:r>
            <w:r>
              <w:rPr>
                <w:sz w:val="16"/>
              </w:rPr>
              <w:t>části</w:t>
            </w:r>
            <w:r>
              <w:rPr>
                <w:spacing w:val="-2"/>
                <w:sz w:val="16"/>
              </w:rPr>
              <w:t>.</w:t>
            </w:r>
          </w:p>
        </w:tc>
        <w:tc>
          <w:tcPr>
            <w:tcW w:w="3467" w:type="dxa"/>
          </w:tcPr>
          <w:p>
            <w:pPr>
              <w:pStyle w:val="TableParagraph"/>
              <w:spacing w:before="78" w:line="266" w:lineRule="auto"/>
              <w:ind w:left="108" w:right="111"/>
              <w:rPr>
                <w:sz w:val="18"/>
              </w:rPr>
            </w:pPr>
            <w:r>
              <w:rPr>
                <w:sz w:val="16"/>
              </w:rPr>
              <w:t xml:space="preserve">Restartujte injekční pumpu. Pokud se alarm opakuje, zvažte resetování na tovární nastavení a </w:t>
            </w:r>
            <w:r>
              <w:rPr>
                <w:sz w:val="16"/>
              </w:rPr>
              <w:t xml:space="preserve">restartování </w:t>
            </w:r>
            <w:r>
              <w:rPr>
                <w:sz w:val="16"/>
              </w:rPr>
              <w:t xml:space="preserve">injekční </w:t>
            </w:r>
            <w:r>
              <w:rPr>
                <w:sz w:val="16"/>
              </w:rPr>
              <w:t xml:space="preserve">pumpy. </w:t>
            </w:r>
            <w:r>
              <w:rPr>
                <w:sz w:val="16"/>
              </w:rPr>
              <w:t xml:space="preserve">Pokud </w:t>
            </w:r>
            <w:r>
              <w:rPr>
                <w:sz w:val="16"/>
              </w:rPr>
              <w:t>alarm stále přetrvává, kontaktujte výrobce za účelem kontroly a opravy.</w:t>
            </w:r>
          </w:p>
        </w:tc>
      </w:tr>
    </w:tbl>
    <w:p>
      <w:pPr>
        <w:pStyle w:val="BodyText"/>
        <w:spacing w:before="196" w:line="278" w:lineRule="auto"/>
        <w:ind w:right="353"/>
      </w:pPr>
      <w:r>
        <w:rPr>
          <w:sz w:val="16"/>
        </w:rPr>
        <w:t>Poznámka: 1. Poloha obsluhy injekční pumpy by měla být v normální provozní poloze (0,5 m); pokud se nachází mimo tento rozsah, může to ovlivnit schopnost obsluhy správně identifikovat alarmy.</w:t>
      </w:r>
    </w:p>
    <w:p>
      <w:pPr>
        <w:pStyle w:val="BodyText"/>
        <w:spacing w:line="278" w:lineRule="auto"/>
      </w:pPr>
      <w:r>
        <w:rPr>
          <w:sz w:val="16"/>
        </w:rPr>
        <w:t xml:space="preserve">2. </w:t>
      </w:r>
      <w:r>
        <w:rPr>
          <w:sz w:val="16"/>
        </w:rPr>
        <w:t xml:space="preserve">Obsluha </w:t>
      </w:r>
      <w:r>
        <w:rPr>
          <w:sz w:val="16"/>
        </w:rPr>
        <w:t xml:space="preserve">by měla </w:t>
      </w:r>
      <w:r>
        <w:rPr>
          <w:sz w:val="16"/>
        </w:rPr>
        <w:t xml:space="preserve">zajistit, </w:t>
      </w:r>
      <w:r>
        <w:rPr>
          <w:sz w:val="16"/>
        </w:rPr>
        <w:t xml:space="preserve">aby </w:t>
      </w:r>
      <w:r>
        <w:rPr>
          <w:sz w:val="16"/>
        </w:rPr>
        <w:t xml:space="preserve">funkce </w:t>
      </w:r>
      <w:r>
        <w:rPr>
          <w:sz w:val="16"/>
        </w:rPr>
        <w:t xml:space="preserve">alarmu </w:t>
      </w:r>
      <w:r>
        <w:rPr>
          <w:sz w:val="16"/>
        </w:rPr>
        <w:t xml:space="preserve">byla </w:t>
      </w:r>
      <w:r>
        <w:rPr>
          <w:sz w:val="16"/>
        </w:rPr>
        <w:t xml:space="preserve">normální </w:t>
      </w:r>
      <w:r>
        <w:rPr>
          <w:sz w:val="16"/>
        </w:rPr>
        <w:t xml:space="preserve">podle </w:t>
      </w:r>
      <w:r>
        <w:rPr>
          <w:sz w:val="16"/>
        </w:rPr>
        <w:t>informací</w:t>
      </w:r>
      <w:r>
        <w:rPr>
          <w:sz w:val="16"/>
        </w:rPr>
        <w:t xml:space="preserve"> </w:t>
      </w:r>
      <w:r>
        <w:rPr>
          <w:sz w:val="16"/>
        </w:rPr>
        <w:t xml:space="preserve">o alarmu </w:t>
      </w:r>
      <w:r>
        <w:rPr>
          <w:sz w:val="16"/>
        </w:rPr>
        <w:t>uvedených v tabulce.</w:t>
      </w:r>
    </w:p>
    <w:p>
      <w:pPr>
        <w:pStyle w:val="BodyText"/>
        <w:spacing w:after="0" w:line="278" w:lineRule="auto"/>
        <w:sectPr>
          <w:type w:val="continuous"/>
          <w:pgSz w:w="8390" w:h="11910"/>
          <w:pgMar w:top="700" w:right="425" w:bottom="540" w:left="425" w:header="0" w:footer="342"/>
          <w:cols w:space="708"/>
        </w:sectPr>
      </w:pPr>
    </w:p>
    <w:p>
      <w:pPr>
        <w:pStyle w:val="Heading1"/>
        <w:numPr>
          <w:ilvl w:val="1"/>
          <w:numId w:val="1"/>
        </w:numPr>
        <w:tabs>
          <w:tab w:val="left" w:pos="593"/>
        </w:tabs>
        <w:spacing w:before="72" w:after="0" w:line="240" w:lineRule="auto"/>
        <w:ind w:left="593" w:right="0" w:hanging="298"/>
        <w:jc w:val="left"/>
      </w:pPr>
      <w:bookmarkStart w:id="64" w:name="8.3 System Settings"/>
      <w:bookmarkEnd w:id="64"/>
      <w:bookmarkStart w:id="65" w:name="_bookmark32"/>
      <w:bookmarkEnd w:id="65"/>
      <w:r>
        <w:rPr>
          <w:spacing w:val="-2"/>
          <w:sz w:val="18"/>
        </w:rPr>
        <w:t xml:space="preserve">Nastavení </w:t>
      </w:r>
      <w:r>
        <w:rPr>
          <w:sz w:val="18"/>
        </w:rPr>
        <w:t>systému</w:t>
      </w:r>
    </w:p>
    <w:p>
      <w:pPr>
        <w:pStyle w:val="BodyText"/>
        <w:spacing w:before="180" w:line="278" w:lineRule="auto"/>
        <w:ind w:right="293"/>
        <w:jc w:val="both"/>
      </w:pPr>
      <w:r>
        <w:rPr>
          <w:sz w:val="16"/>
        </w:rPr>
        <w:t xml:space="preserve">Do </w:t>
      </w:r>
      <w:r>
        <w:rPr>
          <w:sz w:val="16"/>
        </w:rPr>
        <w:t>rozhraní nastavení systému se</w:t>
      </w:r>
      <w:r>
        <w:rPr>
          <w:sz w:val="16"/>
        </w:rPr>
        <w:t xml:space="preserve"> dostanete </w:t>
      </w:r>
      <w:r>
        <w:rPr>
          <w:sz w:val="16"/>
        </w:rPr>
        <w:t xml:space="preserve">stisknutím </w:t>
      </w:r>
      <w:r>
        <w:rPr>
          <w:sz w:val="16"/>
        </w:rPr>
        <w:t xml:space="preserve">příslušné </w:t>
      </w:r>
      <w:r>
        <w:rPr>
          <w:sz w:val="16"/>
        </w:rPr>
        <w:t xml:space="preserve">číselné klávesy v </w:t>
      </w:r>
      <w:r>
        <w:rPr>
          <w:spacing w:val="-2"/>
          <w:sz w:val="16"/>
        </w:rPr>
        <w:t>rozhraní</w:t>
      </w:r>
      <w:r>
        <w:rPr>
          <w:sz w:val="16"/>
        </w:rPr>
        <w:t xml:space="preserve"> hlavního </w:t>
      </w:r>
      <w:r>
        <w:rPr>
          <w:sz w:val="16"/>
        </w:rPr>
        <w:t>menu</w:t>
      </w:r>
      <w:r>
        <w:rPr>
          <w:spacing w:val="-2"/>
          <w:sz w:val="16"/>
        </w:rPr>
        <w:t>.</w:t>
      </w:r>
    </w:p>
    <w:p>
      <w:pPr>
        <w:pStyle w:val="BodyText"/>
        <w:spacing w:before="71"/>
        <w:ind w:left="0"/>
      </w:pPr>
    </w:p>
    <w:p>
      <w:pPr>
        <w:pStyle w:val="Heading2"/>
        <w:numPr>
          <w:ilvl w:val="2"/>
          <w:numId w:val="1"/>
        </w:numPr>
        <w:tabs>
          <w:tab w:val="left" w:pos="698"/>
        </w:tabs>
        <w:spacing w:before="0" w:after="0" w:line="240" w:lineRule="auto"/>
        <w:ind w:left="698" w:right="0" w:hanging="403"/>
        <w:jc w:val="left"/>
      </w:pPr>
      <w:r>
        <w:rPr>
          <w:spacing w:val="-2"/>
          <w:sz w:val="16"/>
        </w:rPr>
        <w:t xml:space="preserve">Výběr </w:t>
      </w:r>
      <w:r>
        <w:rPr>
          <w:sz w:val="16"/>
        </w:rPr>
        <w:t>injekční stříkačky</w:t>
      </w:r>
    </w:p>
    <w:p>
      <w:pPr>
        <w:pStyle w:val="BodyText"/>
        <w:spacing w:before="170" w:line="278" w:lineRule="auto"/>
        <w:ind w:right="291"/>
        <w:jc w:val="both"/>
      </w:pPr>
      <w:r>
        <w:rPr>
          <w:sz w:val="16"/>
        </w:rPr>
        <w:t xml:space="preserve">Stisknutím číselné klávesy „1“ přejděte do výběru značky injekční stříkačky. Odpovídající parametry </w:t>
      </w:r>
      <w:r>
        <w:rPr>
          <w:sz w:val="16"/>
        </w:rPr>
        <w:t>injekční stříkačky se zobrazí zvýrazněné bílou barvou. Pomocí číselných kláves „8“ nebo „9“ vyberte příslušnou injekční stříkačku a stisknutím potvrzovací klávesy uložte parametry. Pokud požadovaná značka injekční stříkačky není k dispozici, pokračujte krokem 8.3.2.</w:t>
      </w:r>
    </w:p>
    <w:p>
      <w:pPr>
        <w:pStyle w:val="BodyText"/>
        <w:spacing w:before="71"/>
        <w:ind w:left="0"/>
      </w:pPr>
    </w:p>
    <w:p>
      <w:pPr>
        <w:pStyle w:val="Heading2"/>
        <w:numPr>
          <w:ilvl w:val="2"/>
          <w:numId w:val="1"/>
        </w:numPr>
        <w:tabs>
          <w:tab w:val="left" w:pos="698"/>
        </w:tabs>
        <w:spacing w:before="0" w:after="0" w:line="240" w:lineRule="auto"/>
        <w:ind w:left="698" w:right="0" w:hanging="403"/>
        <w:jc w:val="left"/>
      </w:pPr>
      <w:r>
        <w:rPr>
          <w:sz w:val="16"/>
        </w:rPr>
        <w:t xml:space="preserve">Přizpůsobení </w:t>
      </w:r>
      <w:r>
        <w:rPr>
          <w:sz w:val="16"/>
        </w:rPr>
        <w:t xml:space="preserve">injekční </w:t>
      </w:r>
      <w:r>
        <w:rPr>
          <w:spacing w:val="-2"/>
          <w:sz w:val="16"/>
        </w:rPr>
        <w:t>stříkačky</w:t>
      </w:r>
    </w:p>
    <w:p>
      <w:pPr>
        <w:pStyle w:val="BodyText"/>
        <w:spacing w:before="172" w:line="278" w:lineRule="auto"/>
        <w:ind w:right="308"/>
      </w:pPr>
      <w:r>
        <w:rPr>
          <w:sz w:val="16"/>
        </w:rPr>
        <w:t xml:space="preserve">Injekční stříkačka </w:t>
      </w:r>
      <w:r>
        <w:rPr>
          <w:sz w:val="16"/>
        </w:rPr>
        <w:t>podporuje</w:t>
      </w:r>
      <w:r>
        <w:rPr>
          <w:sz w:val="16"/>
        </w:rPr>
        <w:t xml:space="preserve"> 20 </w:t>
      </w:r>
      <w:r>
        <w:rPr>
          <w:sz w:val="16"/>
        </w:rPr>
        <w:t xml:space="preserve">přizpůsobených </w:t>
      </w:r>
      <w:r>
        <w:rPr>
          <w:sz w:val="16"/>
        </w:rPr>
        <w:t xml:space="preserve">injekčních stříkaček. </w:t>
      </w:r>
      <w:r>
        <w:rPr>
          <w:sz w:val="16"/>
        </w:rPr>
        <w:t xml:space="preserve">Pro </w:t>
      </w:r>
      <w:r>
        <w:rPr>
          <w:sz w:val="16"/>
        </w:rPr>
        <w:t xml:space="preserve">zajištění </w:t>
      </w:r>
      <w:r>
        <w:rPr>
          <w:sz w:val="16"/>
        </w:rPr>
        <w:t xml:space="preserve">přesnosti </w:t>
      </w:r>
      <w:r>
        <w:rPr>
          <w:sz w:val="16"/>
        </w:rPr>
        <w:t xml:space="preserve">infuze </w:t>
      </w:r>
      <w:r>
        <w:rPr>
          <w:sz w:val="16"/>
        </w:rPr>
        <w:t xml:space="preserve">se </w:t>
      </w:r>
      <w:r>
        <w:rPr>
          <w:sz w:val="16"/>
        </w:rPr>
        <w:t>doporučuje používat značky injekčních stříkaček zabudované do této pumpy (např. BOON, JR, LX, SG, HD, HD-B, KDL, FL, Huafu, Nipro, Braun, BD, Terumo, Monoject).</w:t>
      </w:r>
    </w:p>
    <w:p>
      <w:pPr>
        <w:pStyle w:val="BodyText"/>
        <w:spacing w:line="278" w:lineRule="auto"/>
        <w:ind w:right="291"/>
        <w:jc w:val="both"/>
      </w:pPr>
      <w:r>
        <w:rPr>
          <w:sz w:val="16"/>
        </w:rPr>
        <w:t xml:space="preserve">Stisknutím číselné klávesy „2“ vstoupíte do rozhraní pro nastavení vlastní stříkačky (vyberte nastavení </w:t>
      </w:r>
      <w:r>
        <w:rPr>
          <w:sz w:val="16"/>
        </w:rPr>
        <w:t>značky</w:t>
      </w:r>
      <w:r>
        <w:rPr>
          <w:sz w:val="16"/>
        </w:rPr>
        <w:t xml:space="preserve"> stříkačky </w:t>
      </w:r>
      <w:r>
        <w:rPr>
          <w:sz w:val="16"/>
        </w:rPr>
        <w:t xml:space="preserve">nebo </w:t>
      </w:r>
      <w:r>
        <w:rPr>
          <w:sz w:val="16"/>
        </w:rPr>
        <w:t xml:space="preserve">parametrů). Stisknutím tlačítka „1“ </w:t>
      </w:r>
      <w:r>
        <w:rPr>
          <w:sz w:val="16"/>
        </w:rPr>
        <w:t xml:space="preserve">vstoupíte </w:t>
      </w:r>
      <w:r>
        <w:rPr>
          <w:sz w:val="16"/>
        </w:rPr>
        <w:t xml:space="preserve">do </w:t>
      </w:r>
      <w:r>
        <w:rPr>
          <w:sz w:val="16"/>
        </w:rPr>
        <w:t>rozhraní</w:t>
      </w:r>
      <w:r>
        <w:rPr>
          <w:sz w:val="16"/>
        </w:rPr>
        <w:t xml:space="preserve"> pro nastavení</w:t>
      </w:r>
      <w:r>
        <w:rPr>
          <w:sz w:val="16"/>
        </w:rPr>
        <w:t xml:space="preserve"> značky</w:t>
      </w:r>
      <w:r>
        <w:rPr>
          <w:sz w:val="16"/>
        </w:rPr>
        <w:t>. Zvolte značku stisknutím tlačítka „1–5“ a poté zadejte požadovaný název značky (číselná tlačítka „1–7“ odpovídají 26 velkým písmenům, tlačítka „1–6“ odpovídají vždy</w:t>
      </w:r>
      <w:r>
        <w:rPr>
          <w:spacing w:val="-2"/>
          <w:sz w:val="16"/>
        </w:rPr>
        <w:t xml:space="preserve"> 4</w:t>
      </w:r>
      <w:r>
        <w:rPr>
          <w:sz w:val="16"/>
        </w:rPr>
        <w:t xml:space="preserve"> </w:t>
      </w:r>
      <w:r>
        <w:rPr>
          <w:sz w:val="16"/>
        </w:rPr>
        <w:t>písmenům, tlačítko „7“ odpovídá dvěma písmenům a tlačítko „0“ odpovídá číslicím „0–9“. Pokud dojde k chybě, stiskněte klávesu pro vymazání a vymažte jednotlivé znaky. Klávesy „8“ a „9“ pohybují kurzorem doleva a doprava. Po dokončení zadávání názvu stiskněte potvrzovací klávesu pro uložení.</w:t>
      </w:r>
    </w:p>
    <w:p>
      <w:pPr>
        <w:pStyle w:val="BodyText"/>
        <w:spacing w:before="155" w:line="278" w:lineRule="auto"/>
        <w:ind w:right="292"/>
        <w:jc w:val="both"/>
      </w:pPr>
      <w:r>
        <w:rPr>
          <w:sz w:val="16"/>
        </w:rPr>
        <w:t xml:space="preserve">V </w:t>
      </w:r>
      <w:r>
        <w:rPr>
          <w:sz w:val="16"/>
        </w:rPr>
        <w:t xml:space="preserve">rozhraní </w:t>
      </w:r>
      <w:r>
        <w:rPr>
          <w:sz w:val="16"/>
        </w:rPr>
        <w:t xml:space="preserve">pro nastavení </w:t>
      </w:r>
      <w:r>
        <w:rPr>
          <w:sz w:val="16"/>
        </w:rPr>
        <w:t xml:space="preserve">vlastní </w:t>
      </w:r>
      <w:r>
        <w:rPr>
          <w:sz w:val="16"/>
        </w:rPr>
        <w:t xml:space="preserve">injekční stříkačky </w:t>
      </w:r>
      <w:r>
        <w:rPr>
          <w:sz w:val="16"/>
        </w:rPr>
        <w:t xml:space="preserve">(pro </w:t>
      </w:r>
      <w:r>
        <w:rPr>
          <w:sz w:val="16"/>
        </w:rPr>
        <w:t xml:space="preserve">výběr </w:t>
      </w:r>
      <w:r>
        <w:rPr>
          <w:sz w:val="16"/>
        </w:rPr>
        <w:t xml:space="preserve">značky nebo </w:t>
      </w:r>
      <w:r>
        <w:rPr>
          <w:sz w:val="16"/>
        </w:rPr>
        <w:t xml:space="preserve">parametrů </w:t>
      </w:r>
      <w:r>
        <w:rPr>
          <w:sz w:val="16"/>
        </w:rPr>
        <w:t>injekční stříkačky</w:t>
      </w:r>
      <w:r>
        <w:rPr>
          <w:sz w:val="16"/>
        </w:rPr>
        <w:t>) stiskněte „2“ pro vstup do rozhraní pro výběr značky v nastavení parametrů. Vyberte značku stisknutím „1-5“ a vstupte do rozhraní pro výběr velikosti injekční stříkačky pro danou značku. Vyberte požadovanou velikost injekční stříkačky a poté přejděte do rozhraní pro výběr metody měření parametrů injekční stříkačky (k dispozici jsou dvě metody měření).</w:t>
      </w:r>
    </w:p>
    <w:p>
      <w:pPr>
        <w:pStyle w:val="BodyText"/>
        <w:spacing w:before="155" w:line="278" w:lineRule="auto"/>
        <w:ind w:right="291"/>
        <w:jc w:val="both"/>
      </w:pPr>
      <w:r>
        <w:rPr>
          <w:sz w:val="16"/>
        </w:rPr>
        <w:t xml:space="preserve">Automatická metoda měření vlastní injekční stříkačky: Nejprve vysuňte injekční stříkačku na plnou stupnici odpovídající nastavenému objemu (např. pro měření 50ml injekční stříkačky vytáhněte píst na </w:t>
      </w:r>
      <w:r>
        <w:rPr>
          <w:sz w:val="16"/>
        </w:rPr>
        <w:t xml:space="preserve">značku 50 ml) a správně ji nainstalujte na injekční pumpu. Poté stiskněte „1“ pro výběr automatického měření. Na obrazovce se zobrazí výzva „Potvrďte, že nainstalovaná injekční stříkačka má objem „xx ml“ a je natažena </w:t>
      </w:r>
      <w:r>
        <w:rPr>
          <w:sz w:val="16"/>
        </w:rPr>
        <w:t xml:space="preserve">na značku „xx ml“. </w:t>
      </w:r>
      <w:r>
        <w:rPr>
          <w:sz w:val="16"/>
        </w:rPr>
        <w:t xml:space="preserve">Po potvrzení správnosti stiskněte tlačítko „1“ pro výběr „Ano“ (v opačném případě stiskněte tlačítko „2“ pro „Ne“). Injekční stříkačka začne automaticky měřit. Když je píst zatlačen na značku 0, automatické měření se zastaví a zobrazí se naměřená délka stupnice a koncová délka. Stiskněte číselnou klávesu 4 pro „Nastavení dokončeno“ a </w:t>
      </w:r>
      <w:r>
        <w:rPr>
          <w:sz w:val="16"/>
        </w:rPr>
        <w:t xml:space="preserve">dokončete </w:t>
      </w:r>
      <w:r>
        <w:rPr>
          <w:sz w:val="16"/>
        </w:rPr>
        <w:t xml:space="preserve">nastavení. </w:t>
      </w:r>
      <w:r>
        <w:rPr>
          <w:sz w:val="16"/>
        </w:rPr>
        <w:t xml:space="preserve">Poté </w:t>
      </w:r>
      <w:r>
        <w:rPr>
          <w:sz w:val="16"/>
        </w:rPr>
        <w:t xml:space="preserve">lze injekční stříkačku vyjmout. </w:t>
      </w:r>
      <w:r>
        <w:rPr>
          <w:sz w:val="16"/>
        </w:rPr>
        <w:t xml:space="preserve">V tomto </w:t>
      </w:r>
      <w:r>
        <w:rPr>
          <w:sz w:val="16"/>
        </w:rPr>
        <w:t xml:space="preserve">okamžiku </w:t>
      </w:r>
      <w:r>
        <w:rPr>
          <w:sz w:val="16"/>
        </w:rPr>
        <w:t>se na ikoně injekční stříkačky v levém horním rohu rozhraní zobrazí informace o nastavené značce injekční stříkačky.</w:t>
      </w:r>
    </w:p>
    <w:p>
      <w:pPr>
        <w:spacing w:before="155" w:line="278" w:lineRule="auto"/>
        <w:ind w:left="295" w:right="0" w:firstLine="0"/>
        <w:jc w:val="left"/>
        <w:rPr>
          <w:b/>
          <w:sz w:val="18"/>
        </w:rPr>
      </w:pPr>
      <w:r>
        <w:rPr>
          <w:b/>
          <w:sz w:val="16"/>
        </w:rPr>
        <w:t>Poznámka:</w:t>
      </w:r>
      <w:r>
        <w:rPr>
          <w:b/>
          <w:sz w:val="16"/>
        </w:rPr>
        <w:t xml:space="preserve"> 1. </w:t>
      </w:r>
      <w:r>
        <w:rPr>
          <w:b/>
          <w:sz w:val="16"/>
        </w:rPr>
        <w:t xml:space="preserve">Před </w:t>
      </w:r>
      <w:r>
        <w:rPr>
          <w:b/>
          <w:sz w:val="16"/>
        </w:rPr>
        <w:t xml:space="preserve">spuštěním </w:t>
      </w:r>
      <w:r>
        <w:rPr>
          <w:b/>
          <w:sz w:val="16"/>
        </w:rPr>
        <w:t xml:space="preserve">automatického </w:t>
      </w:r>
      <w:r>
        <w:rPr>
          <w:b/>
          <w:sz w:val="16"/>
        </w:rPr>
        <w:t xml:space="preserve">měření </w:t>
      </w:r>
      <w:r>
        <w:rPr>
          <w:b/>
          <w:sz w:val="16"/>
        </w:rPr>
        <w:t>zkontrolujte</w:t>
      </w:r>
      <w:r>
        <w:rPr>
          <w:b/>
          <w:sz w:val="16"/>
        </w:rPr>
        <w:t xml:space="preserve">, </w:t>
      </w:r>
      <w:r>
        <w:rPr>
          <w:b/>
          <w:sz w:val="16"/>
        </w:rPr>
        <w:t xml:space="preserve">zda </w:t>
      </w:r>
      <w:r>
        <w:rPr>
          <w:b/>
          <w:sz w:val="16"/>
        </w:rPr>
        <w:t xml:space="preserve">velikost </w:t>
      </w:r>
      <w:r>
        <w:rPr>
          <w:b/>
          <w:sz w:val="16"/>
        </w:rPr>
        <w:t>vlastní injekční stříkačky vybrané v pumpě odpovídá skutečné velikosti nainstalované injekční stříkačky.</w:t>
      </w:r>
    </w:p>
    <w:p>
      <w:pPr>
        <w:spacing w:after="0" w:line="278" w:lineRule="auto"/>
        <w:jc w:val="left"/>
        <w:rPr>
          <w:b/>
          <w:sz w:val="18"/>
        </w:rPr>
        <w:sectPr>
          <w:pgSz w:w="8390" w:h="11910"/>
          <w:pgMar w:top="640" w:right="425" w:bottom="540" w:left="425" w:header="0" w:footer="342"/>
          <w:cols w:space="708"/>
        </w:sectPr>
      </w:pPr>
    </w:p>
    <w:p>
      <w:pPr>
        <w:pStyle w:val="ListParagraph"/>
        <w:numPr>
          <w:ilvl w:val="0"/>
          <w:numId w:val="18"/>
        </w:numPr>
        <w:tabs>
          <w:tab w:val="left" w:pos="431"/>
        </w:tabs>
        <w:spacing w:before="78" w:after="0" w:line="278" w:lineRule="auto"/>
        <w:ind w:left="295" w:right="294" w:firstLine="0"/>
        <w:jc w:val="both"/>
        <w:rPr>
          <w:b/>
          <w:sz w:val="18"/>
        </w:rPr>
      </w:pPr>
      <w:r>
        <w:rPr>
          <w:b/>
          <w:sz w:val="16"/>
        </w:rPr>
        <w:t>Během automatického měření nezastavujte ručně, jinak bude měření nepřesné a nelze zaručit přesnost infuze.</w:t>
      </w:r>
    </w:p>
    <w:p>
      <w:pPr>
        <w:pStyle w:val="ListParagraph"/>
        <w:numPr>
          <w:ilvl w:val="0"/>
          <w:numId w:val="18"/>
        </w:numPr>
        <w:tabs>
          <w:tab w:val="left" w:pos="431"/>
        </w:tabs>
        <w:spacing w:before="155" w:after="0" w:line="278" w:lineRule="auto"/>
        <w:ind w:left="295" w:right="294" w:firstLine="0"/>
        <w:jc w:val="both"/>
        <w:rPr>
          <w:b/>
          <w:sz w:val="18"/>
        </w:rPr>
      </w:pPr>
      <w:r>
        <w:rPr>
          <w:b/>
          <w:sz w:val="16"/>
        </w:rPr>
        <w:t xml:space="preserve">Po </w:t>
      </w:r>
      <w:r>
        <w:rPr>
          <w:b/>
          <w:sz w:val="16"/>
        </w:rPr>
        <w:t xml:space="preserve">dokončení </w:t>
      </w:r>
      <w:r>
        <w:rPr>
          <w:b/>
          <w:sz w:val="16"/>
        </w:rPr>
        <w:t xml:space="preserve">automatického </w:t>
      </w:r>
      <w:r>
        <w:rPr>
          <w:b/>
          <w:sz w:val="16"/>
        </w:rPr>
        <w:t xml:space="preserve">měření </w:t>
      </w:r>
      <w:r>
        <w:rPr>
          <w:b/>
          <w:sz w:val="16"/>
        </w:rPr>
        <w:t xml:space="preserve">znovu </w:t>
      </w:r>
      <w:r>
        <w:rPr>
          <w:b/>
          <w:sz w:val="16"/>
        </w:rPr>
        <w:t xml:space="preserve">zkontrolujte, </w:t>
      </w:r>
      <w:r>
        <w:rPr>
          <w:b/>
          <w:sz w:val="16"/>
        </w:rPr>
        <w:t xml:space="preserve">zda </w:t>
      </w:r>
      <w:r>
        <w:rPr>
          <w:b/>
          <w:sz w:val="16"/>
        </w:rPr>
        <w:t xml:space="preserve">aktuální </w:t>
      </w:r>
      <w:r>
        <w:rPr>
          <w:b/>
          <w:sz w:val="16"/>
        </w:rPr>
        <w:t xml:space="preserve">velikost </w:t>
      </w:r>
      <w:r>
        <w:rPr>
          <w:b/>
          <w:sz w:val="16"/>
        </w:rPr>
        <w:t xml:space="preserve">injekční stříkačky </w:t>
      </w:r>
      <w:r>
        <w:rPr>
          <w:b/>
          <w:sz w:val="16"/>
        </w:rPr>
        <w:t>odpovídá ikoně velikosti injekční stříkačky v levém horním rohu čerpadla.</w:t>
      </w:r>
    </w:p>
    <w:p>
      <w:pPr>
        <w:pStyle w:val="BodyText"/>
        <w:spacing w:line="278" w:lineRule="auto"/>
        <w:ind w:right="293"/>
        <w:jc w:val="both"/>
      </w:pPr>
      <w:r>
        <mc:AlternateContent>
          <mc:Choice Requires="wpg">
            <w:drawing>
              <wp:anchor distT="0" distB="0" distL="0" distR="0" simplePos="0" relativeHeight="251706368" behindDoc="1" locked="0" layoutInCell="1" allowOverlap="1">
                <wp:simplePos x="0" y="0"/>
                <wp:positionH relativeFrom="page">
                  <wp:posOffset>1274063</wp:posOffset>
                </wp:positionH>
                <wp:positionV relativeFrom="paragraph">
                  <wp:posOffset>1200658</wp:posOffset>
                </wp:positionV>
                <wp:extent cx="2895600" cy="995680"/>
                <wp:effectExtent l="0" t="0" r="0" b="0"/>
                <wp:wrapTopAndBottom/>
                <wp:docPr id="76"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2895600" cy="995680"/>
                          <a:chOff x="0" y="0"/>
                          <a:chExt cx="2895600" cy="995680"/>
                        </a:xfrm>
                      </wpg:grpSpPr>
                      <pic:pic xmlns:pic="http://schemas.openxmlformats.org/drawingml/2006/picture">
                        <pic:nvPicPr>
                          <pic:cNvPr id="77" name="Image 77"/>
                          <pic:cNvPicPr/>
                        </pic:nvPicPr>
                        <pic:blipFill>
                          <a:blip xmlns:r="http://schemas.openxmlformats.org/officeDocument/2006/relationships" r:embed="rId71" cstate="print"/>
                          <a:stretch>
                            <a:fillRect/>
                          </a:stretch>
                        </pic:blipFill>
                        <pic:spPr>
                          <a:xfrm>
                            <a:off x="0" y="0"/>
                            <a:ext cx="2767270" cy="995172"/>
                          </a:xfrm>
                          <a:prstGeom prst="rect">
                            <a:avLst/>
                          </a:prstGeom>
                        </pic:spPr>
                      </pic:pic>
                      <wps:wsp xmlns:wps="http://schemas.microsoft.com/office/word/2010/wordprocessingShape">
                        <wps:cNvPr id="78" name="Graphic 78"/>
                        <wps:cNvSpPr/>
                        <wps:spPr>
                          <a:xfrm>
                            <a:off x="2161032" y="312420"/>
                            <a:ext cx="734695" cy="187960"/>
                          </a:xfrm>
                          <a:custGeom>
                            <a:avLst/>
                            <a:gdLst/>
                            <a:rect l="l" t="t" r="r" b="b"/>
                            <a:pathLst>
                              <a:path fill="norm" h="187960" w="734695" stroke="1">
                                <a:moveTo>
                                  <a:pt x="734567" y="187452"/>
                                </a:moveTo>
                                <a:lnTo>
                                  <a:pt x="0" y="187452"/>
                                </a:lnTo>
                                <a:lnTo>
                                  <a:pt x="0" y="0"/>
                                </a:lnTo>
                                <a:lnTo>
                                  <a:pt x="734567" y="0"/>
                                </a:lnTo>
                                <a:lnTo>
                                  <a:pt x="734567" y="187452"/>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9" name="Textbox 79"/>
                        <wps:cNvSpPr txBox="1"/>
                        <wps:spPr>
                          <a:xfrm>
                            <a:off x="0" y="0"/>
                            <a:ext cx="2895600" cy="995680"/>
                          </a:xfrm>
                          <a:prstGeom prst="rect">
                            <a:avLst/>
                          </a:prstGeom>
                        </wps:spPr>
                        <wps:txbx>
                          <w:txbxContent>
                            <w:p>
                              <w:pPr>
                                <w:spacing w:before="0" w:line="240" w:lineRule="auto"/>
                                <w:rPr>
                                  <w:sz w:val="16"/>
                                </w:rPr>
                              </w:pPr>
                            </w:p>
                            <w:p>
                              <w:pPr>
                                <w:spacing w:before="0" w:line="240" w:lineRule="auto"/>
                                <w:rPr>
                                  <w:sz w:val="16"/>
                                </w:rPr>
                              </w:pPr>
                            </w:p>
                            <w:p>
                              <w:pPr>
                                <w:spacing w:before="2" w:line="240" w:lineRule="auto"/>
                                <w:rPr>
                                  <w:sz w:val="16"/>
                                </w:rPr>
                              </w:pPr>
                            </w:p>
                            <w:p>
                              <w:pPr>
                                <w:spacing w:before="1"/>
                                <w:ind w:left="0" w:right="13" w:firstLine="0"/>
                                <w:jc w:val="right"/>
                                <w:rPr>
                                  <w:sz w:val="16"/>
                                </w:rPr>
                              </w:pPr>
                              <w:r>
                                <w:rPr>
                                  <w:sz w:val="15"/>
                                </w:rPr>
                                <w:t xml:space="preserve">Délka </w:t>
                              </w:r>
                              <w:r>
                                <w:rPr>
                                  <w:sz w:val="15"/>
                                </w:rPr>
                                <w:t xml:space="preserve">zadního </w:t>
                              </w:r>
                              <w:r>
                                <w:rPr>
                                  <w:spacing w:val="-5"/>
                                  <w:sz w:val="15"/>
                                </w:rPr>
                                <w:t>konce</w:t>
                              </w:r>
                            </w:p>
                          </w:txbxContent>
                        </wps:txbx>
                        <wps:bodyPr wrap="square" lIns="0" tIns="0" rIns="0" bIns="0" rtlCol="0"/>
                      </wps:wsp>
                      <wps:wsp xmlns:wps="http://schemas.microsoft.com/office/word/2010/wordprocessingShape">
                        <wps:cNvPr id="80" name="Textbox 80"/>
                        <wps:cNvSpPr txBox="1"/>
                        <wps:spPr>
                          <a:xfrm>
                            <a:off x="505968" y="312420"/>
                            <a:ext cx="1005840" cy="187960"/>
                          </a:xfrm>
                          <a:prstGeom prst="rect">
                            <a:avLst/>
                          </a:prstGeom>
                          <a:solidFill>
                            <a:srgbClr val="FFFFFF"/>
                          </a:solidFill>
                        </wps:spPr>
                        <wps:txbx>
                          <w:txbxContent>
                            <w:p>
                              <w:pPr>
                                <w:spacing w:before="63"/>
                                <w:ind w:left="-3" w:right="0" w:firstLine="0"/>
                                <w:jc w:val="left"/>
                                <w:rPr>
                                  <w:color w:val="000000"/>
                                  <w:sz w:val="16"/>
                                </w:rPr>
                              </w:pPr>
                              <w:r>
                                <w:rPr>
                                  <w:color w:val="000000"/>
                                  <w:sz w:val="15"/>
                                </w:rPr>
                                <w:t>D</w:t>
                              </w:r>
                              <w:r>
                                <w:rPr>
                                  <w:color w:val="000000"/>
                                  <w:sz w:val="15"/>
                                </w:rPr>
                                <w:t xml:space="preserve">élka </w:t>
                              </w:r>
                              <w:r>
                                <w:rPr>
                                  <w:color w:val="000000"/>
                                  <w:spacing w:val="-2"/>
                                  <w:sz w:val="15"/>
                                </w:rPr>
                                <w:t>stupnice</w:t>
                              </w:r>
                            </w:p>
                          </w:txbxContent>
                        </wps:txbx>
                        <wps:bodyPr wrap="square" lIns="0" tIns="0" rIns="0" bIns="0" rtlCol="0"/>
                      </wps:wsp>
                    </wpg:wgp>
                  </a:graphicData>
                </a:graphic>
              </wp:anchor>
            </w:drawing>
          </mc:Choice>
          <mc:Fallback>
            <w:pict>
              <v:group id="_x0000_s1033" style="width:228pt;height:78.4pt;margin-top:94.54pt;margin-left:100.32pt;mso-position-horizontal-relative:page;mso-wrap-distance-left:0;mso-wrap-distance-right:0;position:absolute;z-index:-251609088" coordorigin="2006,1891" coordsize="4560,1568">
                <v:shape id="_x0000_s1034" type="#_x0000_t75" style="width:4358;height:1568;left:2006;position:absolute;top:1890" stroked="f">
                  <v:imagedata r:id="rId71" o:title=""/>
                </v:shape>
                <v:rect id="_x0000_s1035" style="width:1157;height:296;left:5409;position:absolute;top:2382" filled="t" fillcolor="white" stroked="f">
                  <v:fill type="solid"/>
                </v:rect>
                <v:shape id="_x0000_s1036" type="#_x0000_t202" style="width:4560;height:1568;left:2006;position:absolute;top:1890" filled="f" stroked="f">
                  <v:textbox inset="0,0,0,0">
                    <w:txbxContent>
                      <w:p>
                        <w:pPr>
                          <w:spacing w:before="0" w:line="240" w:lineRule="auto"/>
                          <w:rPr>
                            <w:sz w:val="16"/>
                          </w:rPr>
                        </w:pPr>
                      </w:p>
                      <w:p>
                        <w:pPr>
                          <w:spacing w:before="0" w:line="240" w:lineRule="auto"/>
                          <w:rPr>
                            <w:sz w:val="16"/>
                          </w:rPr>
                        </w:pPr>
                      </w:p>
                      <w:p>
                        <w:pPr>
                          <w:spacing w:before="2" w:line="240" w:lineRule="auto"/>
                          <w:rPr>
                            <w:sz w:val="16"/>
                          </w:rPr>
                        </w:pPr>
                      </w:p>
                      <w:p>
                        <w:pPr>
                          <w:spacing w:before="1"/>
                          <w:ind w:left="0" w:right="13" w:firstLine="0"/>
                          <w:jc w:val="right"/>
                          <w:rPr>
                            <w:sz w:val="16"/>
                          </w:rPr>
                        </w:pPr>
                        <w:r>
                          <w:rPr>
                            <w:sz w:val="16"/>
                          </w:rPr>
                          <w:t xml:space="preserve">Délka </w:t>
                        </w:r>
                        <w:r>
                          <w:rPr>
                            <w:sz w:val="16"/>
                          </w:rPr>
                          <w:t xml:space="preserve">zadního </w:t>
                        </w:r>
                        <w:r>
                          <w:rPr>
                            <w:spacing w:val="-5"/>
                            <w:sz w:val="16"/>
                          </w:rPr>
                          <w:t>konce</w:t>
                        </w:r>
                      </w:p>
                    </w:txbxContent>
                  </v:textbox>
                </v:shape>
                <v:shape id="_x0000_s1037" type="#_x0000_t202" style="width:1584;height:296;left:2803;position:absolute;top:2382" filled="t" fillcolor="white" stroked="f">
                  <v:fill type="solid"/>
                  <v:textbox inset="0,0,0,0">
                    <w:txbxContent>
                      <w:p>
                        <w:pPr>
                          <w:spacing w:before="63"/>
                          <w:ind w:left="-3" w:right="0" w:firstLine="0"/>
                          <w:jc w:val="left"/>
                          <w:rPr>
                            <w:color w:val="000000"/>
                            <w:sz w:val="16"/>
                          </w:rPr>
                        </w:pPr>
                        <w:r>
                          <w:rPr>
                            <w:color w:val="000000"/>
                            <w:sz w:val="16"/>
                          </w:rPr>
                          <w:t>D</w:t>
                        </w:r>
                        <w:r>
                          <w:rPr>
                            <w:color w:val="000000"/>
                            <w:sz w:val="16"/>
                          </w:rPr>
                          <w:t xml:space="preserve">élka </w:t>
                        </w:r>
                        <w:r>
                          <w:rPr>
                            <w:color w:val="000000"/>
                            <w:spacing w:val="-2"/>
                            <w:sz w:val="16"/>
                          </w:rPr>
                          <w:t>stupnice</w:t>
                        </w:r>
                      </w:p>
                    </w:txbxContent>
                  </v:textbox>
                </v:shape>
                <w10:wrap type="topAndBottom"/>
              </v:group>
            </w:pict>
          </mc:Fallback>
        </mc:AlternateContent>
      </w:r>
      <w:r>
        <w:rPr>
          <w:sz w:val="16"/>
        </w:rPr>
        <w:t xml:space="preserve">Metoda ručního měření vlastní injekční stříkačky: Pro přizpůsobení 50ml injekční stříkačky. Jak je znázorněno na obrázku 832-1, nejprve ručně změřte délku stupnice a délku konce injekční stříkačky. Poté stiskněte „2“ pro výběr ručního měření injekční stříkačky a nainstalujte 50ml injekční stříkačku na pumpu, jak je popsáno v 8.1.3. Zadejte ručně změřené hodnoty délky stupnice a délky konce. Po potvrzení přesnosti vyberte 4 „Nastavení dokončeno“ pro uložení parametrů. Poté lze injekční stříkačku odstranit. </w:t>
      </w:r>
      <w:r>
        <w:rPr>
          <w:sz w:val="16"/>
        </w:rPr>
        <w:t>V tomto okamžiku se v ikoně velikosti injekční stříkačky v levém horním rohu rozhraní zobrazí velikost aktuální injekční stříkačky.</w:t>
      </w:r>
    </w:p>
    <w:p>
      <w:pPr>
        <w:pStyle w:val="BodyText"/>
        <w:spacing w:before="140"/>
        <w:ind w:left="120" w:right="120"/>
        <w:jc w:val="center"/>
      </w:pPr>
      <w:r>
        <w:rPr>
          <w:sz w:val="16"/>
        </w:rPr>
        <w:t>(Obrázek</w:t>
      </w:r>
      <w:r>
        <w:rPr>
          <w:spacing w:val="-5"/>
          <w:sz w:val="16"/>
        </w:rPr>
        <w:t xml:space="preserve"> 832-1)</w:t>
      </w:r>
    </w:p>
    <w:p>
      <w:pPr>
        <w:pStyle w:val="BodyText"/>
        <w:spacing w:before="189" w:line="278" w:lineRule="auto"/>
        <w:ind w:right="294"/>
        <w:jc w:val="both"/>
      </w:pPr>
      <w:r>
        <w:rPr>
          <w:sz w:val="16"/>
        </w:rPr>
        <w:t>Aby byla zajištěna přesnost infuze, je třeba po přizpůsobení injekční stříkačky provést ověření kalibrace. Postup je následující:</w:t>
      </w:r>
    </w:p>
    <w:p>
      <w:pPr>
        <w:pStyle w:val="ListParagraph"/>
        <w:numPr>
          <w:ilvl w:val="0"/>
          <w:numId w:val="17"/>
        </w:numPr>
        <w:tabs>
          <w:tab w:val="left" w:pos="548"/>
        </w:tabs>
        <w:spacing w:before="156" w:after="0" w:line="240" w:lineRule="auto"/>
        <w:ind w:left="548" w:right="0" w:hanging="253"/>
        <w:jc w:val="left"/>
        <w:rPr>
          <w:sz w:val="18"/>
        </w:rPr>
      </w:pPr>
      <w:r>
        <w:rPr>
          <w:sz w:val="16"/>
        </w:rPr>
        <w:t xml:space="preserve">0,1 ml/h </w:t>
      </w:r>
      <w:r>
        <w:rPr>
          <w:spacing w:val="-4"/>
          <w:sz w:val="16"/>
        </w:rPr>
        <w:t xml:space="preserve">Test </w:t>
      </w:r>
      <w:r>
        <w:rPr>
          <w:sz w:val="16"/>
        </w:rPr>
        <w:t>přesnosti</w:t>
      </w:r>
    </w:p>
    <w:p>
      <w:pPr>
        <w:pStyle w:val="BodyText"/>
        <w:spacing w:before="189" w:line="278" w:lineRule="auto"/>
        <w:ind w:right="292"/>
        <w:jc w:val="both"/>
      </w:pPr>
      <w:r>
        <w:rPr>
          <w:sz w:val="16"/>
        </w:rPr>
        <w:t>Vyberte injekční stříkačky o objemu 5 ml, 10 ml, 20 ml, 30 ml a 50 ml a nastavte rychlost injekce na 0,1 ml/h. Začněte měřit čas stopkami 3 hodiny po spuštění injekční pumpy a odeberte injikovanou tekutinu pomocí odměrky. Doba měření je 13 hodin. Zaznamenejte čas a objem injikované tekutiny přesně zvážený na elektronické váze. Vypočítejte rychlost injekce pomocí vzorce (1). Proveďte jedno měření. Současně sledujte rychlost kroku během testovacího procesu; všechny výsledky by měly splňovat požadavky.</w:t>
      </w:r>
    </w:p>
    <w:p>
      <w:pPr>
        <w:pStyle w:val="BodyText"/>
        <w:tabs>
          <w:tab w:val="left" w:leader="hyphen" w:pos="6119"/>
        </w:tabs>
        <w:spacing w:before="155"/>
        <w:jc w:val="both"/>
      </w:pPr>
      <w:r>
        <w:rPr>
          <w:sz w:val="16"/>
        </w:rPr>
        <w:t xml:space="preserve">Rychlost </w:t>
      </w:r>
      <w:r>
        <w:rPr>
          <w:sz w:val="16"/>
        </w:rPr>
        <w:t>inj</w:t>
      </w:r>
      <w:r>
        <w:rPr>
          <w:sz w:val="16"/>
        </w:rPr>
        <w:t xml:space="preserve">ekce </w:t>
      </w:r>
      <w:r>
        <w:rPr>
          <w:sz w:val="16"/>
        </w:rPr>
        <w:t xml:space="preserve">= </w:t>
      </w:r>
      <w:r>
        <w:rPr>
          <w:sz w:val="16"/>
        </w:rPr>
        <w:t xml:space="preserve">objem </w:t>
      </w:r>
      <w:r>
        <w:rPr>
          <w:sz w:val="16"/>
        </w:rPr>
        <w:t xml:space="preserve">injekční </w:t>
      </w:r>
      <w:r>
        <w:rPr>
          <w:sz w:val="16"/>
        </w:rPr>
        <w:t xml:space="preserve">tekutiny </w:t>
      </w:r>
      <w:r>
        <w:rPr>
          <w:sz w:val="16"/>
        </w:rPr>
        <w:t xml:space="preserve">/ </w:t>
      </w:r>
      <w:r>
        <w:rPr>
          <w:spacing w:val="-2"/>
          <w:sz w:val="16"/>
        </w:rPr>
        <w:t xml:space="preserve">doba </w:t>
      </w:r>
      <w:r>
        <w:rPr>
          <w:sz w:val="16"/>
        </w:rPr>
        <w:t>měření</w:t>
      </w:r>
      <w:r>
        <w:rPr>
          <w:sz w:val="16"/>
        </w:rPr>
        <w:tab/>
      </w:r>
      <w:r>
        <w:rPr>
          <w:sz w:val="16"/>
        </w:rPr>
        <w:t xml:space="preserve">Vzorec </w:t>
      </w:r>
      <w:r>
        <w:rPr>
          <w:spacing w:val="-5"/>
          <w:sz w:val="16"/>
        </w:rPr>
        <w:t>(1)</w:t>
      </w:r>
    </w:p>
    <w:p>
      <w:pPr>
        <w:pStyle w:val="ListParagraph"/>
        <w:numPr>
          <w:ilvl w:val="0"/>
          <w:numId w:val="17"/>
        </w:numPr>
        <w:tabs>
          <w:tab w:val="left" w:pos="548"/>
        </w:tabs>
        <w:spacing w:before="189" w:after="0" w:line="240" w:lineRule="auto"/>
        <w:ind w:left="548" w:right="0" w:hanging="253"/>
        <w:jc w:val="left"/>
        <w:rPr>
          <w:sz w:val="18"/>
        </w:rPr>
      </w:pPr>
      <w:r>
        <w:rPr>
          <w:spacing w:val="-4"/>
          <w:sz w:val="16"/>
        </w:rPr>
        <w:t xml:space="preserve">Test </w:t>
      </w:r>
      <w:r>
        <w:rPr>
          <w:sz w:val="16"/>
        </w:rPr>
        <w:t xml:space="preserve">přesnosti </w:t>
      </w:r>
      <w:r>
        <w:rPr>
          <w:sz w:val="16"/>
        </w:rPr>
        <w:t xml:space="preserve">střední </w:t>
      </w:r>
      <w:r>
        <w:rPr>
          <w:sz w:val="16"/>
        </w:rPr>
        <w:t xml:space="preserve">a </w:t>
      </w:r>
      <w:r>
        <w:rPr>
          <w:sz w:val="16"/>
        </w:rPr>
        <w:t xml:space="preserve">maximální </w:t>
      </w:r>
      <w:r>
        <w:rPr>
          <w:sz w:val="16"/>
        </w:rPr>
        <w:t>rychlosti</w:t>
      </w:r>
    </w:p>
    <w:p>
      <w:pPr>
        <w:pStyle w:val="BodyText"/>
        <w:spacing w:before="189" w:line="278" w:lineRule="auto"/>
        <w:ind w:right="293"/>
        <w:jc w:val="both"/>
      </w:pPr>
      <w:r>
        <w:rPr>
          <w:sz w:val="16"/>
        </w:rPr>
        <w:t xml:space="preserve">Vyberte odpovídající injekční stříkačku a nastavte střední a maximální rychlost vstřikování pro danou velikost injekční stříkačky. Na začátku vstřikování spusťte stopky a odeberte vstřikovanou tekutinu pomocí odměrky. Měřte po dobu 2 minut při střední i maximální rychlosti. Zaznamenejte čas a objem vstřikované tekutiny přesně zvážený na elektronické váze. Vypočítejte rychlost injekce pomocí vzorce (1). Proveďte jedno měření. Současně sledujte rychlost kroku během testovacího procesu; všechny výsledky by měly splňovat </w:t>
      </w:r>
      <w:r>
        <w:rPr>
          <w:spacing w:val="-2"/>
          <w:sz w:val="16"/>
        </w:rPr>
        <w:t>požadavky.</w:t>
      </w:r>
    </w:p>
    <w:p>
      <w:pPr>
        <w:pStyle w:val="BodyText"/>
        <w:spacing w:after="0" w:line="278" w:lineRule="auto"/>
        <w:jc w:val="both"/>
        <w:sectPr>
          <w:pgSz w:w="8390" w:h="11910"/>
          <w:pgMar w:top="660" w:right="425" w:bottom="540" w:left="425" w:header="0" w:footer="342"/>
          <w:cols w:space="708"/>
        </w:sectPr>
      </w:pPr>
    </w:p>
    <w:p>
      <w:pPr>
        <w:pStyle w:val="BodyText"/>
        <w:spacing w:before="78" w:line="278" w:lineRule="auto"/>
        <w:ind w:right="294"/>
        <w:jc w:val="both"/>
      </w:pPr>
      <w:r>
        <w:rPr>
          <w:sz w:val="16"/>
        </w:rPr>
        <w:t>Poznámka: Pokud ověření kalibrace odhalí, že chyba přesnosti infuze současné injekční stříkačky je mimo přijatelný rozsah, proveďte jemné doladění kompenzace délky stupnice.</w:t>
      </w:r>
    </w:p>
    <w:p>
      <w:pPr>
        <w:pStyle w:val="BodyText"/>
        <w:spacing w:before="155" w:line="278" w:lineRule="auto"/>
        <w:ind w:right="293"/>
        <w:jc w:val="both"/>
      </w:pPr>
      <w:r>
        <w:rPr>
          <w:sz w:val="16"/>
        </w:rPr>
        <w:t xml:space="preserve">Například pokud </w:t>
      </w:r>
      <w:r>
        <w:rPr>
          <w:sz w:val="16"/>
        </w:rPr>
        <w:t xml:space="preserve">je </w:t>
      </w:r>
      <w:r>
        <w:rPr>
          <w:sz w:val="16"/>
        </w:rPr>
        <w:t xml:space="preserve">skutečná </w:t>
      </w:r>
      <w:r>
        <w:rPr>
          <w:sz w:val="16"/>
        </w:rPr>
        <w:t>chyba</w:t>
      </w:r>
      <w:r>
        <w:rPr>
          <w:sz w:val="16"/>
        </w:rPr>
        <w:t xml:space="preserve"> infuze </w:t>
      </w:r>
      <w:r>
        <w:rPr>
          <w:sz w:val="16"/>
        </w:rPr>
        <w:t>+5 %, snižte odpovídajícím způsobem délku stupnice současné injekční stříkačky o 5 %. Pokud je skutečná chyba infuze -5 %, zvyšte odpovídajícím způsobem délku stupnice současné injekční stříkačky o 5 %.</w:t>
      </w:r>
    </w:p>
    <w:p>
      <w:pPr>
        <w:pStyle w:val="BodyText"/>
        <w:spacing w:before="69"/>
        <w:ind w:left="0"/>
      </w:pPr>
    </w:p>
    <w:p>
      <w:pPr>
        <w:pStyle w:val="Heading2"/>
        <w:numPr>
          <w:ilvl w:val="2"/>
          <w:numId w:val="1"/>
        </w:numPr>
        <w:tabs>
          <w:tab w:val="left" w:pos="698"/>
        </w:tabs>
        <w:spacing w:before="0" w:after="0" w:line="240" w:lineRule="auto"/>
        <w:ind w:left="698" w:right="0" w:hanging="403"/>
        <w:jc w:val="left"/>
      </w:pPr>
      <w:r>
        <w:rPr>
          <w:spacing w:val="-2"/>
          <w:sz w:val="16"/>
        </w:rPr>
        <w:t xml:space="preserve">Nastavení </w:t>
      </w:r>
      <w:r>
        <w:rPr>
          <w:sz w:val="16"/>
        </w:rPr>
        <w:t>okluze</w:t>
      </w:r>
    </w:p>
    <w:p>
      <w:pPr>
        <w:pStyle w:val="BodyText"/>
        <w:spacing w:before="172" w:line="278" w:lineRule="auto"/>
        <w:ind w:right="290"/>
        <w:jc w:val="both"/>
      </w:pPr>
      <w:r>
        <w:rPr>
          <w:sz w:val="16"/>
        </w:rPr>
        <w:t>Stisknutím číslicového tlačítka „3“ vstoupíte do rozhraní pro nastavení blokování. Rozsah hodnot blokování pro injekční stříkačky 2/2,5 ml je 10–69 kPa v 1. stupni, 70–109 kPa ve 2. stupni a 110–149 kPa ve 3. stupni. Hodnota blokování stříkaček (5–60) ml se pohybuje v rozmezí 10 kPa až 130 kPa.</w:t>
      </w:r>
    </w:p>
    <w:p>
      <w:pPr>
        <w:pStyle w:val="BodyText"/>
        <w:spacing w:line="278" w:lineRule="auto"/>
        <w:ind w:right="291"/>
        <w:jc w:val="both"/>
      </w:pPr>
      <w:r>
        <w:rPr>
          <w:sz w:val="16"/>
        </w:rPr>
        <w:t xml:space="preserve">Stiskněte číselnou klávesu „1“ pro nastavení rozsahu blokovací hodnoty pro 2ml injekční stříkačky. Odpovídající parametr pro úroveň blokování bude zvýrazněn bílou barvou. </w:t>
      </w:r>
      <w:r>
        <w:rPr>
          <w:sz w:val="16"/>
        </w:rPr>
        <w:t xml:space="preserve">Stiskněte číselnou klávesu „8“ a </w:t>
      </w:r>
      <w:r>
        <w:rPr>
          <w:sz w:val="16"/>
        </w:rPr>
        <w:t>„9“ pro výběr převodového stupně 20kPa ~ 130kPa, 70-109kPa, 110-149Kpa. Poté stiskněte tlačítko Potvrdit, abyste parametry uložili a ukončili.</w:t>
      </w:r>
    </w:p>
    <w:p>
      <w:pPr>
        <w:pStyle w:val="BodyText"/>
        <w:spacing w:line="278" w:lineRule="auto"/>
        <w:ind w:right="291"/>
        <w:jc w:val="both"/>
      </w:pPr>
      <w:r>
        <w:rPr>
          <w:sz w:val="16"/>
        </w:rPr>
        <w:t>Stiskněte číselnou klávesu „3“ pro nastavení rozsahu hodnoty blokování pro injekční stříkačky (5–60) ml. Odpovídající parametr pro úroveň blokování bude zvýrazněn bílou barvou. Pomocí číselných kláves „8“ a „9“ vyberte vhodnou úroveň mezi 10 kPa a 130 kPa na základě skutečných testovacích podmínek. Poté stiskněte tlačítko Potvrdit pro uložení parametrů a ukončení.</w:t>
      </w:r>
    </w:p>
    <w:p>
      <w:pPr>
        <w:pStyle w:val="BodyText"/>
        <w:spacing w:before="155" w:line="278" w:lineRule="auto"/>
        <w:ind w:right="291"/>
        <w:jc w:val="both"/>
      </w:pPr>
      <w:r>
        <w:rPr>
          <w:sz w:val="16"/>
        </w:rPr>
        <w:t xml:space="preserve">Stiskněte </w:t>
      </w:r>
      <w:r>
        <w:rPr>
          <w:sz w:val="16"/>
        </w:rPr>
        <w:t xml:space="preserve">číselnou </w:t>
      </w:r>
      <w:r>
        <w:rPr>
          <w:sz w:val="16"/>
        </w:rPr>
        <w:t xml:space="preserve">klávesu </w:t>
      </w:r>
      <w:r>
        <w:rPr>
          <w:sz w:val="16"/>
        </w:rPr>
        <w:t xml:space="preserve">„2“ </w:t>
      </w:r>
      <w:r>
        <w:rPr>
          <w:sz w:val="16"/>
        </w:rPr>
        <w:t xml:space="preserve">nebo </w:t>
      </w:r>
      <w:r>
        <w:rPr>
          <w:sz w:val="16"/>
        </w:rPr>
        <w:t xml:space="preserve">„4“ </w:t>
      </w:r>
      <w:r>
        <w:rPr>
          <w:sz w:val="16"/>
        </w:rPr>
        <w:t xml:space="preserve">pro </w:t>
      </w:r>
      <w:r>
        <w:rPr>
          <w:sz w:val="16"/>
        </w:rPr>
        <w:t xml:space="preserve">nastavení </w:t>
      </w:r>
      <w:r>
        <w:rPr>
          <w:sz w:val="16"/>
        </w:rPr>
        <w:t xml:space="preserve">jednotky </w:t>
      </w:r>
      <w:r>
        <w:rPr>
          <w:sz w:val="16"/>
        </w:rPr>
        <w:t>stříkačky</w:t>
      </w:r>
      <w:r>
        <w:rPr>
          <w:sz w:val="16"/>
        </w:rPr>
        <w:t xml:space="preserve"> 2/2,5 ml </w:t>
      </w:r>
      <w:r>
        <w:rPr>
          <w:sz w:val="16"/>
        </w:rPr>
        <w:t xml:space="preserve">a </w:t>
      </w:r>
      <w:r>
        <w:rPr>
          <w:sz w:val="16"/>
        </w:rPr>
        <w:t xml:space="preserve">jednotky stříkačky </w:t>
      </w:r>
      <w:r>
        <w:rPr>
          <w:sz w:val="16"/>
        </w:rPr>
        <w:t xml:space="preserve">(5–60) </w:t>
      </w:r>
      <w:r>
        <w:rPr>
          <w:sz w:val="16"/>
        </w:rPr>
        <w:t>ml</w:t>
      </w:r>
      <w:r>
        <w:rPr>
          <w:sz w:val="16"/>
        </w:rPr>
        <w:t xml:space="preserve">. Odpovídající parametr pro jednotky blokování se zvýrazní bílou barvou. Pomocí číselných kláves „8“ a „9“ vyberte jednotku (kPa, psi, bar, mmHg) podle skutečných podmínek. </w:t>
      </w:r>
      <w:r>
        <w:rPr>
          <w:sz w:val="16"/>
        </w:rPr>
        <w:t>Poté stiskněte tlačítko Potvrdit pro uložení parametrů a ukončení.</w:t>
      </w:r>
    </w:p>
    <w:p>
      <w:pPr>
        <w:pStyle w:val="BodyText"/>
        <w:spacing w:line="278" w:lineRule="auto"/>
        <w:ind w:right="353"/>
      </w:pPr>
      <w:r>
        <w:rPr>
          <w:sz w:val="16"/>
        </w:rPr>
        <w:t xml:space="preserve">Pokud </w:t>
      </w:r>
      <w:r>
        <w:rPr>
          <w:sz w:val="16"/>
        </w:rPr>
        <w:t xml:space="preserve">je </w:t>
      </w:r>
      <w:r>
        <w:rPr>
          <w:sz w:val="16"/>
        </w:rPr>
        <w:t xml:space="preserve">během </w:t>
      </w:r>
      <w:r>
        <w:rPr>
          <w:sz w:val="16"/>
        </w:rPr>
        <w:t xml:space="preserve">alarmu </w:t>
      </w:r>
      <w:r>
        <w:rPr>
          <w:sz w:val="16"/>
        </w:rPr>
        <w:t xml:space="preserve">naměřená </w:t>
      </w:r>
      <w:r>
        <w:rPr>
          <w:sz w:val="16"/>
        </w:rPr>
        <w:t xml:space="preserve">hodnota </w:t>
      </w:r>
      <w:r>
        <w:rPr>
          <w:sz w:val="16"/>
        </w:rPr>
        <w:t xml:space="preserve">tlaku </w:t>
      </w:r>
      <w:r>
        <w:rPr>
          <w:sz w:val="16"/>
        </w:rPr>
        <w:t xml:space="preserve">příliš </w:t>
      </w:r>
      <w:r>
        <w:rPr>
          <w:sz w:val="16"/>
        </w:rPr>
        <w:t xml:space="preserve">vysoká, </w:t>
      </w:r>
      <w:r>
        <w:rPr>
          <w:sz w:val="16"/>
        </w:rPr>
        <w:t xml:space="preserve">vyberte </w:t>
      </w:r>
      <w:r>
        <w:rPr>
          <w:sz w:val="16"/>
        </w:rPr>
        <w:t xml:space="preserve">odpovídající </w:t>
      </w:r>
      <w:r>
        <w:rPr>
          <w:sz w:val="16"/>
        </w:rPr>
        <w:t xml:space="preserve">střední </w:t>
      </w:r>
      <w:r>
        <w:rPr>
          <w:sz w:val="16"/>
        </w:rPr>
        <w:t xml:space="preserve">nebo </w:t>
      </w:r>
      <w:r>
        <w:rPr>
          <w:sz w:val="16"/>
        </w:rPr>
        <w:t xml:space="preserve">nízký </w:t>
      </w:r>
      <w:r>
        <w:rPr>
          <w:sz w:val="16"/>
        </w:rPr>
        <w:t>rozsah; pokud je příliš nízká, vyberte vysoký rozsah.</w:t>
      </w:r>
    </w:p>
    <w:p>
      <w:pPr>
        <w:pStyle w:val="BodyText"/>
      </w:pPr>
      <w:r>
        <w:rPr>
          <w:sz w:val="16"/>
        </w:rPr>
        <w:t xml:space="preserve">Po </w:t>
      </w:r>
      <w:r>
        <w:rPr>
          <w:sz w:val="16"/>
        </w:rPr>
        <w:t xml:space="preserve">opuštění </w:t>
      </w:r>
      <w:r>
        <w:rPr>
          <w:sz w:val="16"/>
        </w:rPr>
        <w:t>znovu ověřte</w:t>
      </w:r>
      <w:r>
        <w:rPr>
          <w:sz w:val="16"/>
        </w:rPr>
        <w:t xml:space="preserve">, </w:t>
      </w:r>
      <w:r>
        <w:rPr>
          <w:sz w:val="16"/>
        </w:rPr>
        <w:t xml:space="preserve">zda </w:t>
      </w:r>
      <w:r>
        <w:rPr>
          <w:sz w:val="16"/>
        </w:rPr>
        <w:t xml:space="preserve">je </w:t>
      </w:r>
      <w:r>
        <w:rPr>
          <w:sz w:val="16"/>
        </w:rPr>
        <w:t xml:space="preserve">hodnota </w:t>
      </w:r>
      <w:r>
        <w:rPr>
          <w:sz w:val="16"/>
        </w:rPr>
        <w:t xml:space="preserve">tlaku </w:t>
      </w:r>
      <w:r>
        <w:rPr>
          <w:sz w:val="16"/>
        </w:rPr>
        <w:t xml:space="preserve">v </w:t>
      </w:r>
      <w:r>
        <w:rPr>
          <w:sz w:val="16"/>
        </w:rPr>
        <w:t xml:space="preserve">odpovídajícím </w:t>
      </w:r>
      <w:r>
        <w:rPr>
          <w:spacing w:val="-2"/>
          <w:sz w:val="16"/>
        </w:rPr>
        <w:t>rozsahu.</w:t>
      </w:r>
    </w:p>
    <w:p>
      <w:pPr>
        <w:pStyle w:val="BodyText"/>
        <w:spacing w:before="189"/>
        <w:ind w:left="120" w:right="120"/>
        <w:jc w:val="center"/>
      </w:pPr>
      <w:r>
        <w:rPr>
          <w:sz w:val="16"/>
        </w:rPr>
        <w:t>Tabulka</w:t>
      </w:r>
      <w:r>
        <w:rPr>
          <w:sz w:val="16"/>
        </w:rPr>
        <w:t xml:space="preserve"> 833-1 </w:t>
      </w:r>
      <w:r>
        <w:rPr>
          <w:sz w:val="16"/>
        </w:rPr>
        <w:t xml:space="preserve">(5-60) </w:t>
      </w:r>
      <w:r>
        <w:rPr>
          <w:sz w:val="16"/>
        </w:rPr>
        <w:t xml:space="preserve">ml </w:t>
      </w:r>
      <w:r>
        <w:rPr>
          <w:spacing w:val="-2"/>
          <w:sz w:val="16"/>
        </w:rPr>
        <w:t>injekční stříkačky:</w:t>
      </w:r>
    </w:p>
    <w:p>
      <w:pPr>
        <w:pStyle w:val="BodyText"/>
        <w:spacing w:before="10" w:after="1"/>
        <w:ind w:left="0"/>
        <w:rPr>
          <w:sz w:val="8"/>
        </w:rPr>
      </w:pPr>
    </w:p>
    <w:tbl>
      <w:tblPr>
        <w:tblStyle w:val="TableNormal"/>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1"/>
        <w:gridCol w:w="1013"/>
        <w:gridCol w:w="1219"/>
        <w:gridCol w:w="948"/>
        <w:gridCol w:w="1029"/>
        <w:gridCol w:w="1118"/>
      </w:tblGrid>
      <w:tr>
        <w:tblPrEx>
          <w:tblW w:w="0" w:type="auto"/>
          <w:tblInd w:w="596" w:type="dxa"/>
          <w:tblLayout w:type="fixed"/>
          <w:tblLook w:val="01E0"/>
        </w:tblPrEx>
        <w:trPr>
          <w:trHeight w:val="607"/>
        </w:trPr>
        <w:tc>
          <w:tcPr>
            <w:tcW w:w="1031" w:type="dxa"/>
          </w:tcPr>
          <w:p>
            <w:pPr>
              <w:pStyle w:val="TableParagraph"/>
              <w:spacing w:before="86" w:line="278" w:lineRule="auto"/>
              <w:ind w:left="308" w:hanging="125"/>
              <w:rPr>
                <w:sz w:val="18"/>
              </w:rPr>
            </w:pPr>
            <w:r>
              <w:rPr>
                <w:spacing w:val="-2"/>
                <w:sz w:val="16"/>
              </w:rPr>
              <w:t>Úroveň blokování</w:t>
            </w:r>
          </w:p>
        </w:tc>
        <w:tc>
          <w:tcPr>
            <w:tcW w:w="1013" w:type="dxa"/>
          </w:tcPr>
          <w:p>
            <w:pPr>
              <w:pStyle w:val="TableParagraph"/>
              <w:spacing w:before="86" w:line="278" w:lineRule="auto"/>
              <w:ind w:left="299" w:hanging="99"/>
              <w:rPr>
                <w:sz w:val="18"/>
              </w:rPr>
            </w:pPr>
            <w:r>
              <w:rPr>
                <w:spacing w:val="-4"/>
                <w:sz w:val="16"/>
              </w:rPr>
              <w:t>Hodnota</w:t>
            </w:r>
            <w:r>
              <w:rPr>
                <w:spacing w:val="-2"/>
                <w:sz w:val="16"/>
              </w:rPr>
              <w:t xml:space="preserve"> tlaku</w:t>
            </w:r>
          </w:p>
        </w:tc>
        <w:tc>
          <w:tcPr>
            <w:tcW w:w="1219" w:type="dxa"/>
          </w:tcPr>
          <w:p>
            <w:pPr>
              <w:pStyle w:val="TableParagraph"/>
              <w:spacing w:before="86" w:line="278" w:lineRule="auto"/>
              <w:ind w:left="402" w:hanging="125"/>
              <w:rPr>
                <w:sz w:val="18"/>
              </w:rPr>
            </w:pPr>
            <w:r>
              <w:rPr>
                <w:spacing w:val="-2"/>
                <w:sz w:val="16"/>
              </w:rPr>
              <w:t>Úroveň blokování</w:t>
            </w:r>
          </w:p>
        </w:tc>
        <w:tc>
          <w:tcPr>
            <w:tcW w:w="948" w:type="dxa"/>
          </w:tcPr>
          <w:p>
            <w:pPr>
              <w:pStyle w:val="TableParagraph"/>
              <w:spacing w:before="86" w:line="278" w:lineRule="auto"/>
              <w:ind w:left="268" w:hanging="101"/>
              <w:rPr>
                <w:sz w:val="18"/>
              </w:rPr>
            </w:pPr>
            <w:r>
              <w:rPr>
                <w:spacing w:val="-2"/>
                <w:sz w:val="16"/>
              </w:rPr>
              <w:t>Hodnota tlaku</w:t>
            </w:r>
          </w:p>
        </w:tc>
        <w:tc>
          <w:tcPr>
            <w:tcW w:w="1029" w:type="dxa"/>
          </w:tcPr>
          <w:p>
            <w:pPr>
              <w:pStyle w:val="TableParagraph"/>
              <w:spacing w:before="86" w:line="278" w:lineRule="auto"/>
              <w:ind w:left="309" w:right="171" w:hanging="125"/>
              <w:rPr>
                <w:sz w:val="18"/>
              </w:rPr>
            </w:pPr>
            <w:r>
              <w:rPr>
                <w:spacing w:val="-2"/>
                <w:sz w:val="16"/>
              </w:rPr>
              <w:t>Úroveň blokování</w:t>
            </w:r>
          </w:p>
        </w:tc>
        <w:tc>
          <w:tcPr>
            <w:tcW w:w="1118" w:type="dxa"/>
          </w:tcPr>
          <w:p>
            <w:pPr>
              <w:pStyle w:val="TableParagraph"/>
              <w:spacing w:before="86" w:line="278" w:lineRule="auto"/>
              <w:ind w:left="353" w:right="242" w:hanging="101"/>
              <w:rPr>
                <w:sz w:val="18"/>
              </w:rPr>
            </w:pPr>
            <w:r>
              <w:rPr>
                <w:spacing w:val="-2"/>
                <w:sz w:val="16"/>
              </w:rPr>
              <w:t>Hodnota tlaku</w:t>
            </w:r>
          </w:p>
        </w:tc>
      </w:tr>
      <w:tr>
        <w:tblPrEx>
          <w:tblW w:w="0" w:type="auto"/>
          <w:tblInd w:w="596" w:type="dxa"/>
          <w:tblLayout w:type="fixed"/>
          <w:tblLook w:val="01E0"/>
        </w:tblPrEx>
        <w:trPr>
          <w:trHeight w:val="363"/>
        </w:trPr>
        <w:tc>
          <w:tcPr>
            <w:tcW w:w="1031" w:type="dxa"/>
          </w:tcPr>
          <w:p>
            <w:pPr>
              <w:pStyle w:val="TableParagraph"/>
              <w:spacing w:before="85"/>
              <w:ind w:left="7"/>
              <w:jc w:val="center"/>
              <w:rPr>
                <w:sz w:val="18"/>
              </w:rPr>
            </w:pPr>
            <w:r>
              <w:rPr>
                <w:spacing w:val="-10"/>
                <w:sz w:val="16"/>
              </w:rPr>
              <w:t>1</w:t>
            </w:r>
          </w:p>
        </w:tc>
        <w:tc>
          <w:tcPr>
            <w:tcW w:w="1013" w:type="dxa"/>
          </w:tcPr>
          <w:p>
            <w:pPr>
              <w:pStyle w:val="TableParagraph"/>
              <w:spacing w:before="85"/>
              <w:ind w:left="10"/>
              <w:jc w:val="center"/>
              <w:rPr>
                <w:sz w:val="18"/>
              </w:rPr>
            </w:pPr>
            <w:r>
              <w:rPr>
                <w:spacing w:val="-2"/>
                <w:sz w:val="16"/>
              </w:rPr>
              <w:t>10 kPa</w:t>
            </w:r>
          </w:p>
        </w:tc>
        <w:tc>
          <w:tcPr>
            <w:tcW w:w="1219" w:type="dxa"/>
          </w:tcPr>
          <w:p>
            <w:pPr>
              <w:pStyle w:val="TableParagraph"/>
              <w:spacing w:before="85"/>
              <w:ind w:left="8"/>
              <w:jc w:val="center"/>
              <w:rPr>
                <w:sz w:val="18"/>
              </w:rPr>
            </w:pPr>
            <w:r>
              <w:rPr>
                <w:spacing w:val="-10"/>
                <w:sz w:val="16"/>
              </w:rPr>
              <w:t>6</w:t>
            </w:r>
          </w:p>
        </w:tc>
        <w:tc>
          <w:tcPr>
            <w:tcW w:w="948" w:type="dxa"/>
          </w:tcPr>
          <w:p>
            <w:pPr>
              <w:pStyle w:val="TableParagraph"/>
              <w:spacing w:before="85"/>
              <w:ind w:left="10"/>
              <w:jc w:val="center"/>
              <w:rPr>
                <w:sz w:val="18"/>
              </w:rPr>
            </w:pPr>
            <w:r>
              <w:rPr>
                <w:spacing w:val="-2"/>
                <w:sz w:val="16"/>
              </w:rPr>
              <w:t>60 kPa</w:t>
            </w:r>
          </w:p>
        </w:tc>
        <w:tc>
          <w:tcPr>
            <w:tcW w:w="1029" w:type="dxa"/>
          </w:tcPr>
          <w:p>
            <w:pPr>
              <w:pStyle w:val="TableParagraph"/>
              <w:spacing w:before="85"/>
              <w:ind w:left="11"/>
              <w:jc w:val="center"/>
              <w:rPr>
                <w:sz w:val="18"/>
              </w:rPr>
            </w:pPr>
            <w:r>
              <w:rPr>
                <w:spacing w:val="-5"/>
                <w:sz w:val="16"/>
              </w:rPr>
              <w:t>11</w:t>
            </w:r>
          </w:p>
        </w:tc>
        <w:tc>
          <w:tcPr>
            <w:tcW w:w="1118" w:type="dxa"/>
          </w:tcPr>
          <w:p>
            <w:pPr>
              <w:pStyle w:val="TableParagraph"/>
              <w:spacing w:before="85"/>
              <w:ind w:left="9"/>
              <w:jc w:val="center"/>
              <w:rPr>
                <w:sz w:val="18"/>
              </w:rPr>
            </w:pPr>
            <w:r>
              <w:rPr>
                <w:spacing w:val="-2"/>
                <w:sz w:val="16"/>
              </w:rPr>
              <w:t>110 kPa</w:t>
            </w:r>
          </w:p>
        </w:tc>
      </w:tr>
      <w:tr>
        <w:tblPrEx>
          <w:tblW w:w="0" w:type="auto"/>
          <w:tblInd w:w="596" w:type="dxa"/>
          <w:tblLayout w:type="fixed"/>
          <w:tblLook w:val="01E0"/>
        </w:tblPrEx>
        <w:trPr>
          <w:trHeight w:val="363"/>
        </w:trPr>
        <w:tc>
          <w:tcPr>
            <w:tcW w:w="1031" w:type="dxa"/>
          </w:tcPr>
          <w:p>
            <w:pPr>
              <w:pStyle w:val="TableParagraph"/>
              <w:spacing w:before="86"/>
              <w:ind w:left="7"/>
              <w:jc w:val="center"/>
              <w:rPr>
                <w:sz w:val="18"/>
              </w:rPr>
            </w:pPr>
            <w:r>
              <w:rPr>
                <w:spacing w:val="-10"/>
                <w:sz w:val="16"/>
              </w:rPr>
              <w:t>2</w:t>
            </w:r>
          </w:p>
        </w:tc>
        <w:tc>
          <w:tcPr>
            <w:tcW w:w="1013" w:type="dxa"/>
          </w:tcPr>
          <w:p>
            <w:pPr>
              <w:pStyle w:val="TableParagraph"/>
              <w:spacing w:before="86"/>
              <w:ind w:left="10"/>
              <w:jc w:val="center"/>
              <w:rPr>
                <w:sz w:val="18"/>
              </w:rPr>
            </w:pPr>
            <w:r>
              <w:rPr>
                <w:spacing w:val="-2"/>
                <w:sz w:val="16"/>
              </w:rPr>
              <w:t>20 kPa</w:t>
            </w:r>
          </w:p>
        </w:tc>
        <w:tc>
          <w:tcPr>
            <w:tcW w:w="1219" w:type="dxa"/>
          </w:tcPr>
          <w:p>
            <w:pPr>
              <w:pStyle w:val="TableParagraph"/>
              <w:spacing w:before="86"/>
              <w:ind w:left="8"/>
              <w:jc w:val="center"/>
              <w:rPr>
                <w:sz w:val="18"/>
              </w:rPr>
            </w:pPr>
            <w:r>
              <w:rPr>
                <w:spacing w:val="-10"/>
                <w:sz w:val="16"/>
              </w:rPr>
              <w:t>7</w:t>
            </w:r>
          </w:p>
        </w:tc>
        <w:tc>
          <w:tcPr>
            <w:tcW w:w="948" w:type="dxa"/>
          </w:tcPr>
          <w:p>
            <w:pPr>
              <w:pStyle w:val="TableParagraph"/>
              <w:spacing w:before="86"/>
              <w:ind w:left="10"/>
              <w:jc w:val="center"/>
              <w:rPr>
                <w:sz w:val="18"/>
              </w:rPr>
            </w:pPr>
            <w:r>
              <w:rPr>
                <w:spacing w:val="-2"/>
                <w:sz w:val="16"/>
              </w:rPr>
              <w:t>70 kPa</w:t>
            </w:r>
          </w:p>
        </w:tc>
        <w:tc>
          <w:tcPr>
            <w:tcW w:w="1029" w:type="dxa"/>
          </w:tcPr>
          <w:p>
            <w:pPr>
              <w:pStyle w:val="TableParagraph"/>
              <w:spacing w:before="86"/>
              <w:ind w:left="11"/>
              <w:jc w:val="center"/>
              <w:rPr>
                <w:sz w:val="18"/>
              </w:rPr>
            </w:pPr>
            <w:r>
              <w:rPr>
                <w:spacing w:val="-5"/>
                <w:sz w:val="16"/>
              </w:rPr>
              <w:t>12</w:t>
            </w:r>
          </w:p>
        </w:tc>
        <w:tc>
          <w:tcPr>
            <w:tcW w:w="1118" w:type="dxa"/>
          </w:tcPr>
          <w:p>
            <w:pPr>
              <w:pStyle w:val="TableParagraph"/>
              <w:spacing w:before="86"/>
              <w:ind w:left="9"/>
              <w:jc w:val="center"/>
              <w:rPr>
                <w:sz w:val="18"/>
              </w:rPr>
            </w:pPr>
            <w:r>
              <w:rPr>
                <w:spacing w:val="-2"/>
                <w:sz w:val="16"/>
              </w:rPr>
              <w:t>120 kPa</w:t>
            </w:r>
          </w:p>
        </w:tc>
      </w:tr>
      <w:tr>
        <w:tblPrEx>
          <w:tblW w:w="0" w:type="auto"/>
          <w:tblInd w:w="596" w:type="dxa"/>
          <w:tblLayout w:type="fixed"/>
          <w:tblLook w:val="01E0"/>
        </w:tblPrEx>
        <w:trPr>
          <w:trHeight w:val="364"/>
        </w:trPr>
        <w:tc>
          <w:tcPr>
            <w:tcW w:w="1031" w:type="dxa"/>
          </w:tcPr>
          <w:p>
            <w:pPr>
              <w:pStyle w:val="TableParagraph"/>
              <w:spacing w:before="86"/>
              <w:ind w:left="7"/>
              <w:jc w:val="center"/>
              <w:rPr>
                <w:sz w:val="18"/>
              </w:rPr>
            </w:pPr>
            <w:r>
              <w:rPr>
                <w:spacing w:val="-10"/>
                <w:sz w:val="16"/>
              </w:rPr>
              <w:t>3</w:t>
            </w:r>
          </w:p>
        </w:tc>
        <w:tc>
          <w:tcPr>
            <w:tcW w:w="1013" w:type="dxa"/>
          </w:tcPr>
          <w:p>
            <w:pPr>
              <w:pStyle w:val="TableParagraph"/>
              <w:spacing w:before="86"/>
              <w:ind w:left="10"/>
              <w:jc w:val="center"/>
              <w:rPr>
                <w:sz w:val="18"/>
              </w:rPr>
            </w:pPr>
            <w:r>
              <w:rPr>
                <w:spacing w:val="-2"/>
                <w:sz w:val="16"/>
              </w:rPr>
              <w:t>30 kPa</w:t>
            </w:r>
          </w:p>
        </w:tc>
        <w:tc>
          <w:tcPr>
            <w:tcW w:w="1219" w:type="dxa"/>
          </w:tcPr>
          <w:p>
            <w:pPr>
              <w:pStyle w:val="TableParagraph"/>
              <w:spacing w:before="86"/>
              <w:ind w:left="8"/>
              <w:jc w:val="center"/>
              <w:rPr>
                <w:sz w:val="18"/>
              </w:rPr>
            </w:pPr>
            <w:r>
              <w:rPr>
                <w:spacing w:val="-10"/>
                <w:sz w:val="16"/>
              </w:rPr>
              <w:t>8</w:t>
            </w:r>
          </w:p>
        </w:tc>
        <w:tc>
          <w:tcPr>
            <w:tcW w:w="948" w:type="dxa"/>
          </w:tcPr>
          <w:p>
            <w:pPr>
              <w:pStyle w:val="TableParagraph"/>
              <w:spacing w:before="86"/>
              <w:ind w:left="10"/>
              <w:jc w:val="center"/>
              <w:rPr>
                <w:sz w:val="18"/>
              </w:rPr>
            </w:pPr>
            <w:r>
              <w:rPr>
                <w:spacing w:val="-2"/>
                <w:sz w:val="16"/>
              </w:rPr>
              <w:t>80 kPa</w:t>
            </w:r>
          </w:p>
        </w:tc>
        <w:tc>
          <w:tcPr>
            <w:tcW w:w="1029" w:type="dxa"/>
          </w:tcPr>
          <w:p>
            <w:pPr>
              <w:pStyle w:val="TableParagraph"/>
              <w:spacing w:before="86"/>
              <w:ind w:left="11"/>
              <w:jc w:val="center"/>
              <w:rPr>
                <w:sz w:val="18"/>
              </w:rPr>
            </w:pPr>
            <w:r>
              <w:rPr>
                <w:spacing w:val="-5"/>
                <w:sz w:val="16"/>
              </w:rPr>
              <w:t>13</w:t>
            </w:r>
          </w:p>
        </w:tc>
        <w:tc>
          <w:tcPr>
            <w:tcW w:w="1118" w:type="dxa"/>
          </w:tcPr>
          <w:p>
            <w:pPr>
              <w:pStyle w:val="TableParagraph"/>
              <w:spacing w:before="86"/>
              <w:ind w:left="9"/>
              <w:jc w:val="center"/>
              <w:rPr>
                <w:sz w:val="18"/>
              </w:rPr>
            </w:pPr>
            <w:r>
              <w:rPr>
                <w:spacing w:val="-2"/>
                <w:sz w:val="16"/>
              </w:rPr>
              <w:t>130 kPa</w:t>
            </w:r>
          </w:p>
        </w:tc>
      </w:tr>
      <w:tr>
        <w:tblPrEx>
          <w:tblW w:w="0" w:type="auto"/>
          <w:tblInd w:w="596" w:type="dxa"/>
          <w:tblLayout w:type="fixed"/>
          <w:tblLook w:val="01E0"/>
        </w:tblPrEx>
        <w:trPr>
          <w:trHeight w:val="363"/>
        </w:trPr>
        <w:tc>
          <w:tcPr>
            <w:tcW w:w="1031" w:type="dxa"/>
          </w:tcPr>
          <w:p>
            <w:pPr>
              <w:pStyle w:val="TableParagraph"/>
              <w:spacing w:before="87"/>
              <w:ind w:left="7"/>
              <w:jc w:val="center"/>
              <w:rPr>
                <w:sz w:val="18"/>
              </w:rPr>
            </w:pPr>
            <w:r>
              <w:rPr>
                <w:spacing w:val="-10"/>
                <w:sz w:val="16"/>
              </w:rPr>
              <w:t>4</w:t>
            </w:r>
          </w:p>
        </w:tc>
        <w:tc>
          <w:tcPr>
            <w:tcW w:w="1013" w:type="dxa"/>
          </w:tcPr>
          <w:p>
            <w:pPr>
              <w:pStyle w:val="TableParagraph"/>
              <w:spacing w:before="87"/>
              <w:ind w:left="10"/>
              <w:jc w:val="center"/>
              <w:rPr>
                <w:sz w:val="18"/>
              </w:rPr>
            </w:pPr>
            <w:r>
              <w:rPr>
                <w:spacing w:val="-2"/>
                <w:sz w:val="16"/>
              </w:rPr>
              <w:t>40 kPa</w:t>
            </w:r>
          </w:p>
        </w:tc>
        <w:tc>
          <w:tcPr>
            <w:tcW w:w="1219" w:type="dxa"/>
          </w:tcPr>
          <w:p>
            <w:pPr>
              <w:pStyle w:val="TableParagraph"/>
              <w:spacing w:before="87"/>
              <w:ind w:left="8"/>
              <w:jc w:val="center"/>
              <w:rPr>
                <w:sz w:val="18"/>
              </w:rPr>
            </w:pPr>
            <w:r>
              <w:rPr>
                <w:spacing w:val="-10"/>
                <w:sz w:val="16"/>
              </w:rPr>
              <w:t>9</w:t>
            </w:r>
          </w:p>
        </w:tc>
        <w:tc>
          <w:tcPr>
            <w:tcW w:w="948" w:type="dxa"/>
          </w:tcPr>
          <w:p>
            <w:pPr>
              <w:pStyle w:val="TableParagraph"/>
              <w:spacing w:before="87"/>
              <w:ind w:left="10"/>
              <w:jc w:val="center"/>
              <w:rPr>
                <w:sz w:val="18"/>
              </w:rPr>
            </w:pPr>
            <w:r>
              <w:rPr>
                <w:spacing w:val="-2"/>
                <w:sz w:val="16"/>
              </w:rPr>
              <w:t>90 kPa</w:t>
            </w:r>
          </w:p>
        </w:tc>
        <w:tc>
          <w:tcPr>
            <w:tcW w:w="1029" w:type="dxa"/>
          </w:tcPr>
          <w:p>
            <w:pPr>
              <w:pStyle w:val="TableParagraph"/>
              <w:rPr>
                <w:sz w:val="18"/>
              </w:rPr>
            </w:pPr>
          </w:p>
        </w:tc>
        <w:tc>
          <w:tcPr>
            <w:tcW w:w="1118" w:type="dxa"/>
          </w:tcPr>
          <w:p>
            <w:pPr>
              <w:pStyle w:val="TableParagraph"/>
              <w:rPr>
                <w:sz w:val="18"/>
              </w:rPr>
            </w:pPr>
          </w:p>
        </w:tc>
      </w:tr>
      <w:tr>
        <w:tblPrEx>
          <w:tblW w:w="0" w:type="auto"/>
          <w:tblInd w:w="596" w:type="dxa"/>
          <w:tblLayout w:type="fixed"/>
          <w:tblLook w:val="01E0"/>
        </w:tblPrEx>
        <w:trPr>
          <w:trHeight w:val="364"/>
        </w:trPr>
        <w:tc>
          <w:tcPr>
            <w:tcW w:w="1031" w:type="dxa"/>
          </w:tcPr>
          <w:p>
            <w:pPr>
              <w:pStyle w:val="TableParagraph"/>
              <w:spacing w:before="85"/>
              <w:ind w:left="7"/>
              <w:jc w:val="center"/>
              <w:rPr>
                <w:sz w:val="18"/>
              </w:rPr>
            </w:pPr>
            <w:r>
              <w:rPr>
                <w:spacing w:val="-10"/>
                <w:sz w:val="16"/>
              </w:rPr>
              <w:t>5</w:t>
            </w:r>
          </w:p>
        </w:tc>
        <w:tc>
          <w:tcPr>
            <w:tcW w:w="1013" w:type="dxa"/>
          </w:tcPr>
          <w:p>
            <w:pPr>
              <w:pStyle w:val="TableParagraph"/>
              <w:spacing w:before="85"/>
              <w:ind w:left="10"/>
              <w:jc w:val="center"/>
              <w:rPr>
                <w:sz w:val="18"/>
              </w:rPr>
            </w:pPr>
            <w:r>
              <w:rPr>
                <w:spacing w:val="-2"/>
                <w:sz w:val="16"/>
              </w:rPr>
              <w:t>50 kPa</w:t>
            </w:r>
          </w:p>
        </w:tc>
        <w:tc>
          <w:tcPr>
            <w:tcW w:w="1219" w:type="dxa"/>
          </w:tcPr>
          <w:p>
            <w:pPr>
              <w:pStyle w:val="TableParagraph"/>
              <w:spacing w:before="85"/>
              <w:ind w:left="8"/>
              <w:jc w:val="center"/>
              <w:rPr>
                <w:sz w:val="18"/>
              </w:rPr>
            </w:pPr>
            <w:r>
              <w:rPr>
                <w:spacing w:val="-5"/>
                <w:sz w:val="16"/>
              </w:rPr>
              <w:t>10</w:t>
            </w:r>
          </w:p>
        </w:tc>
        <w:tc>
          <w:tcPr>
            <w:tcW w:w="948" w:type="dxa"/>
          </w:tcPr>
          <w:p>
            <w:pPr>
              <w:pStyle w:val="TableParagraph"/>
              <w:spacing w:before="85"/>
              <w:ind w:left="10"/>
              <w:jc w:val="center"/>
              <w:rPr>
                <w:sz w:val="18"/>
              </w:rPr>
            </w:pPr>
            <w:r>
              <w:rPr>
                <w:spacing w:val="-2"/>
                <w:sz w:val="16"/>
              </w:rPr>
              <w:t>100 kPa</w:t>
            </w:r>
          </w:p>
        </w:tc>
        <w:tc>
          <w:tcPr>
            <w:tcW w:w="1029" w:type="dxa"/>
          </w:tcPr>
          <w:p>
            <w:pPr>
              <w:pStyle w:val="TableParagraph"/>
              <w:rPr>
                <w:sz w:val="18"/>
              </w:rPr>
            </w:pPr>
          </w:p>
        </w:tc>
        <w:tc>
          <w:tcPr>
            <w:tcW w:w="1118" w:type="dxa"/>
          </w:tcPr>
          <w:p>
            <w:pPr>
              <w:pStyle w:val="TableParagraph"/>
              <w:rPr>
                <w:sz w:val="18"/>
              </w:rPr>
            </w:pPr>
          </w:p>
        </w:tc>
      </w:tr>
    </w:tbl>
    <w:p>
      <w:pPr>
        <w:pStyle w:val="TableParagraph"/>
        <w:spacing w:after="0"/>
        <w:rPr>
          <w:sz w:val="18"/>
        </w:rPr>
        <w:sectPr>
          <w:pgSz w:w="8390" w:h="11910"/>
          <w:pgMar w:top="660" w:right="425" w:bottom="540" w:left="425" w:header="0" w:footer="342"/>
          <w:cols w:space="708"/>
        </w:sectPr>
      </w:pPr>
    </w:p>
    <w:p>
      <w:pPr>
        <w:pStyle w:val="BodyText"/>
        <w:spacing w:before="78"/>
        <w:ind w:left="120" w:right="32"/>
        <w:jc w:val="center"/>
      </w:pPr>
      <w:r>
        <w:rPr>
          <w:sz w:val="16"/>
        </w:rPr>
        <w:t>Tabulka</w:t>
      </w:r>
      <w:r>
        <w:rPr>
          <w:sz w:val="16"/>
        </w:rPr>
        <w:t xml:space="preserve"> 833-2</w:t>
      </w:r>
      <w:r>
        <w:rPr>
          <w:sz w:val="16"/>
        </w:rPr>
        <w:t xml:space="preserve"> 2/2,5 ml </w:t>
      </w:r>
      <w:r>
        <w:rPr>
          <w:spacing w:val="-2"/>
          <w:sz w:val="16"/>
        </w:rPr>
        <w:t>injekční stříkačky:</w:t>
      </w:r>
    </w:p>
    <w:p>
      <w:pPr>
        <w:pStyle w:val="BodyText"/>
        <w:spacing w:before="10"/>
        <w:ind w:left="0"/>
        <w:rPr>
          <w:sz w:val="8"/>
        </w:rPr>
      </w:pPr>
    </w:p>
    <w:tbl>
      <w:tblPr>
        <w:tblStyle w:val="TableNormal"/>
        <w:tblW w:w="0" w:type="auto"/>
        <w:jc w:val="left"/>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8"/>
        <w:gridCol w:w="2573"/>
      </w:tblGrid>
      <w:tr>
        <w:tblPrEx>
          <w:tblW w:w="0" w:type="auto"/>
          <w:tblInd w:w="1393" w:type="dxa"/>
          <w:tblLayout w:type="fixed"/>
          <w:tblLook w:val="01E0"/>
        </w:tblPrEx>
        <w:trPr>
          <w:trHeight w:val="364"/>
        </w:trPr>
        <w:tc>
          <w:tcPr>
            <w:tcW w:w="2088" w:type="dxa"/>
          </w:tcPr>
          <w:p>
            <w:pPr>
              <w:pStyle w:val="TableParagraph"/>
              <w:spacing w:before="86"/>
              <w:ind w:left="11" w:right="7"/>
              <w:jc w:val="center"/>
              <w:rPr>
                <w:sz w:val="18"/>
              </w:rPr>
            </w:pPr>
            <w:r>
              <w:rPr>
                <w:spacing w:val="-2"/>
                <w:sz w:val="16"/>
              </w:rPr>
              <w:t xml:space="preserve">Úroveň </w:t>
            </w:r>
            <w:r>
              <w:rPr>
                <w:sz w:val="16"/>
              </w:rPr>
              <w:t>blokování</w:t>
            </w:r>
          </w:p>
        </w:tc>
        <w:tc>
          <w:tcPr>
            <w:tcW w:w="2573" w:type="dxa"/>
          </w:tcPr>
          <w:p>
            <w:pPr>
              <w:pStyle w:val="TableParagraph"/>
              <w:spacing w:before="86"/>
              <w:ind w:left="10"/>
              <w:jc w:val="center"/>
              <w:rPr>
                <w:sz w:val="18"/>
              </w:rPr>
            </w:pPr>
            <w:r>
              <w:rPr>
                <w:spacing w:val="-2"/>
                <w:sz w:val="16"/>
              </w:rPr>
              <w:t xml:space="preserve">Hodnota </w:t>
            </w:r>
            <w:r>
              <w:rPr>
                <w:sz w:val="16"/>
              </w:rPr>
              <w:t>tlaku</w:t>
            </w:r>
          </w:p>
        </w:tc>
      </w:tr>
      <w:tr>
        <w:tblPrEx>
          <w:tblW w:w="0" w:type="auto"/>
          <w:tblInd w:w="1393" w:type="dxa"/>
          <w:tblLayout w:type="fixed"/>
          <w:tblLook w:val="01E0"/>
        </w:tblPrEx>
        <w:trPr>
          <w:trHeight w:val="364"/>
        </w:trPr>
        <w:tc>
          <w:tcPr>
            <w:tcW w:w="2088" w:type="dxa"/>
          </w:tcPr>
          <w:p>
            <w:pPr>
              <w:pStyle w:val="TableParagraph"/>
              <w:spacing w:before="87"/>
              <w:ind w:left="11"/>
              <w:jc w:val="center"/>
              <w:rPr>
                <w:sz w:val="18"/>
              </w:rPr>
            </w:pPr>
            <w:r>
              <w:rPr>
                <w:spacing w:val="-10"/>
                <w:sz w:val="16"/>
              </w:rPr>
              <w:t>1</w:t>
            </w:r>
          </w:p>
        </w:tc>
        <w:tc>
          <w:tcPr>
            <w:tcW w:w="2573" w:type="dxa"/>
          </w:tcPr>
          <w:p>
            <w:pPr>
              <w:pStyle w:val="TableParagraph"/>
              <w:spacing w:before="87"/>
              <w:ind w:left="10" w:right="2"/>
              <w:jc w:val="center"/>
              <w:rPr>
                <w:sz w:val="18"/>
              </w:rPr>
            </w:pPr>
            <w:r>
              <w:rPr>
                <w:sz w:val="16"/>
              </w:rPr>
              <w:t xml:space="preserve">10–69 </w:t>
            </w:r>
            <w:r>
              <w:rPr>
                <w:spacing w:val="-5"/>
                <w:sz w:val="16"/>
              </w:rPr>
              <w:t>kPa</w:t>
            </w:r>
          </w:p>
        </w:tc>
      </w:tr>
      <w:tr>
        <w:tblPrEx>
          <w:tblW w:w="0" w:type="auto"/>
          <w:tblInd w:w="1393" w:type="dxa"/>
          <w:tblLayout w:type="fixed"/>
          <w:tblLook w:val="01E0"/>
        </w:tblPrEx>
        <w:trPr>
          <w:trHeight w:val="363"/>
        </w:trPr>
        <w:tc>
          <w:tcPr>
            <w:tcW w:w="2088" w:type="dxa"/>
          </w:tcPr>
          <w:p>
            <w:pPr>
              <w:pStyle w:val="TableParagraph"/>
              <w:spacing w:before="85"/>
              <w:ind w:left="11"/>
              <w:jc w:val="center"/>
              <w:rPr>
                <w:sz w:val="18"/>
              </w:rPr>
            </w:pPr>
            <w:r>
              <w:rPr>
                <w:spacing w:val="-10"/>
                <w:sz w:val="16"/>
              </w:rPr>
              <w:t>2</w:t>
            </w:r>
          </w:p>
        </w:tc>
        <w:tc>
          <w:tcPr>
            <w:tcW w:w="2573" w:type="dxa"/>
          </w:tcPr>
          <w:p>
            <w:pPr>
              <w:pStyle w:val="TableParagraph"/>
              <w:spacing w:before="85"/>
              <w:ind w:left="10"/>
              <w:jc w:val="center"/>
              <w:rPr>
                <w:sz w:val="18"/>
              </w:rPr>
            </w:pPr>
            <w:r>
              <w:rPr>
                <w:sz w:val="16"/>
              </w:rPr>
              <w:t xml:space="preserve">70–109 </w:t>
            </w:r>
            <w:r>
              <w:rPr>
                <w:spacing w:val="-5"/>
                <w:sz w:val="16"/>
              </w:rPr>
              <w:t>kPa</w:t>
            </w:r>
          </w:p>
        </w:tc>
      </w:tr>
      <w:tr>
        <w:tblPrEx>
          <w:tblW w:w="0" w:type="auto"/>
          <w:tblInd w:w="1393" w:type="dxa"/>
          <w:tblLayout w:type="fixed"/>
          <w:tblLook w:val="01E0"/>
        </w:tblPrEx>
        <w:trPr>
          <w:trHeight w:val="363"/>
        </w:trPr>
        <w:tc>
          <w:tcPr>
            <w:tcW w:w="2088" w:type="dxa"/>
          </w:tcPr>
          <w:p>
            <w:pPr>
              <w:pStyle w:val="TableParagraph"/>
              <w:spacing w:before="85"/>
              <w:ind w:left="11"/>
              <w:jc w:val="center"/>
              <w:rPr>
                <w:sz w:val="18"/>
              </w:rPr>
            </w:pPr>
            <w:r>
              <w:rPr>
                <w:spacing w:val="-10"/>
                <w:sz w:val="16"/>
              </w:rPr>
              <w:t>3</w:t>
            </w:r>
          </w:p>
        </w:tc>
        <w:tc>
          <w:tcPr>
            <w:tcW w:w="2573" w:type="dxa"/>
          </w:tcPr>
          <w:p>
            <w:pPr>
              <w:pStyle w:val="TableParagraph"/>
              <w:spacing w:before="85"/>
              <w:ind w:left="10"/>
              <w:jc w:val="center"/>
              <w:rPr>
                <w:sz w:val="18"/>
              </w:rPr>
            </w:pPr>
            <w:r>
              <w:rPr>
                <w:spacing w:val="-2"/>
                <w:sz w:val="16"/>
              </w:rPr>
              <w:t>110–149 kPa</w:t>
            </w:r>
          </w:p>
        </w:tc>
      </w:tr>
    </w:tbl>
    <w:p>
      <w:pPr>
        <w:spacing w:before="181" w:line="278" w:lineRule="auto"/>
        <w:ind w:left="295" w:right="295" w:firstLine="0"/>
        <w:jc w:val="both"/>
        <w:rPr>
          <w:b/>
          <w:sz w:val="18"/>
        </w:rPr>
      </w:pPr>
      <w:r>
        <w:rPr>
          <w:b/>
          <w:sz w:val="16"/>
        </w:rPr>
        <w:t>Poznámka: 1. Při použití tekutin s vysokou viskozitou a nastavení úrovně blokování na nižší úroveň může dojít k alarmům blokování, i když v hadičce nedochází k žádnému blokování.</w:t>
      </w:r>
    </w:p>
    <w:p>
      <w:pPr>
        <w:spacing w:before="156" w:line="278" w:lineRule="auto"/>
        <w:ind w:left="295" w:right="292" w:firstLine="0"/>
        <w:jc w:val="both"/>
        <w:rPr>
          <w:b/>
          <w:sz w:val="18"/>
        </w:rPr>
      </w:pPr>
      <w:r>
        <w:rPr>
          <w:b/>
          <w:sz w:val="16"/>
        </w:rPr>
        <w:t>Pečlivě sledujte ukazatel tlaku na displeji a stav infuzní linky. V případě potřeby nastavte vyšší úroveň okluze.</w:t>
      </w:r>
    </w:p>
    <w:p>
      <w:pPr>
        <w:pStyle w:val="ListParagraph"/>
        <w:numPr>
          <w:ilvl w:val="0"/>
          <w:numId w:val="16"/>
        </w:numPr>
        <w:tabs>
          <w:tab w:val="left" w:pos="431"/>
        </w:tabs>
        <w:spacing w:before="156" w:after="0" w:line="278" w:lineRule="auto"/>
        <w:ind w:left="295" w:right="294" w:firstLine="0"/>
        <w:jc w:val="both"/>
        <w:rPr>
          <w:b/>
          <w:sz w:val="18"/>
        </w:rPr>
      </w:pPr>
      <w:r>
        <w:rPr>
          <w:b/>
          <w:sz w:val="16"/>
        </w:rPr>
        <w:t xml:space="preserve">Pokud je tlak blokování nastaven na vysokou hodnotu, nahromaděný tlak v infuzní hadičce může uvolnit prodlužovací trubici připojenou k injekční stříkačce. </w:t>
      </w:r>
      <w:r>
        <w:rPr>
          <w:b/>
          <w:sz w:val="16"/>
        </w:rPr>
        <w:t>Ujistěte se, že je prodlužovací trubice pevně připojena k injekční stříkačce.</w:t>
      </w:r>
    </w:p>
    <w:p>
      <w:pPr>
        <w:pStyle w:val="ListParagraph"/>
        <w:numPr>
          <w:ilvl w:val="0"/>
          <w:numId w:val="16"/>
        </w:numPr>
        <w:tabs>
          <w:tab w:val="left" w:pos="431"/>
        </w:tabs>
        <w:spacing w:before="155" w:after="0" w:line="278" w:lineRule="auto"/>
        <w:ind w:left="295" w:right="294" w:firstLine="0"/>
        <w:jc w:val="both"/>
        <w:rPr>
          <w:b/>
          <w:sz w:val="18"/>
        </w:rPr>
      </w:pPr>
      <w:r>
        <w:rPr>
          <w:b/>
          <w:sz w:val="16"/>
        </w:rPr>
        <w:t xml:space="preserve">Převodní </w:t>
      </w:r>
      <w:r>
        <w:rPr>
          <w:b/>
          <w:sz w:val="16"/>
        </w:rPr>
        <w:t xml:space="preserve">vztahy </w:t>
      </w:r>
      <w:r>
        <w:rPr>
          <w:b/>
          <w:sz w:val="16"/>
        </w:rPr>
        <w:t xml:space="preserve">pro </w:t>
      </w:r>
      <w:r>
        <w:rPr>
          <w:b/>
          <w:sz w:val="16"/>
        </w:rPr>
        <w:t xml:space="preserve">jednotlivé </w:t>
      </w:r>
      <w:r>
        <w:rPr>
          <w:b/>
          <w:sz w:val="16"/>
        </w:rPr>
        <w:t xml:space="preserve">jednotky </w:t>
      </w:r>
      <w:r>
        <w:rPr>
          <w:b/>
          <w:sz w:val="16"/>
        </w:rPr>
        <w:t xml:space="preserve">a </w:t>
      </w:r>
      <w:r>
        <w:rPr>
          <w:b/>
          <w:sz w:val="16"/>
        </w:rPr>
        <w:t xml:space="preserve">rozsah </w:t>
      </w:r>
      <w:r>
        <w:rPr>
          <w:b/>
          <w:sz w:val="16"/>
        </w:rPr>
        <w:t xml:space="preserve">chyby </w:t>
      </w:r>
      <w:r>
        <w:rPr>
          <w:b/>
          <w:sz w:val="16"/>
        </w:rPr>
        <w:t xml:space="preserve">pro </w:t>
      </w:r>
      <w:r>
        <w:rPr>
          <w:b/>
          <w:sz w:val="16"/>
        </w:rPr>
        <w:t xml:space="preserve">jednotlivé </w:t>
      </w:r>
      <w:r>
        <w:rPr>
          <w:b/>
          <w:sz w:val="16"/>
        </w:rPr>
        <w:t xml:space="preserve">úrovně </w:t>
      </w:r>
      <w:r>
        <w:rPr>
          <w:b/>
          <w:sz w:val="16"/>
        </w:rPr>
        <w:t xml:space="preserve">pro </w:t>
      </w:r>
      <w:r>
        <w:rPr>
          <w:b/>
          <w:sz w:val="16"/>
        </w:rPr>
        <w:t>injekční stříkačky (5–60) ml jsou ±10 kPa nebo ±15 %.</w:t>
      </w:r>
    </w:p>
    <w:p>
      <w:pPr>
        <w:pStyle w:val="BodyText"/>
        <w:spacing w:before="71"/>
        <w:ind w:left="0"/>
        <w:rPr>
          <w:b/>
        </w:rPr>
      </w:pPr>
    </w:p>
    <w:p>
      <w:pPr>
        <w:pStyle w:val="ListParagraph"/>
        <w:numPr>
          <w:ilvl w:val="2"/>
          <w:numId w:val="1"/>
        </w:numPr>
        <w:tabs>
          <w:tab w:val="left" w:pos="698"/>
        </w:tabs>
        <w:spacing w:before="1" w:after="0" w:line="240" w:lineRule="auto"/>
        <w:ind w:left="698" w:right="0" w:hanging="403"/>
        <w:jc w:val="left"/>
        <w:rPr>
          <w:b/>
          <w:sz w:val="18"/>
        </w:rPr>
      </w:pPr>
      <w:r>
        <w:rPr>
          <w:b/>
          <w:spacing w:val="-2"/>
          <w:sz w:val="16"/>
        </w:rPr>
        <w:t xml:space="preserve">Nastavení </w:t>
      </w:r>
      <w:r>
        <w:rPr>
          <w:b/>
          <w:sz w:val="16"/>
        </w:rPr>
        <w:t>bolusu</w:t>
      </w:r>
    </w:p>
    <w:p>
      <w:pPr>
        <w:pStyle w:val="BodyText"/>
        <w:spacing w:before="172" w:line="278" w:lineRule="auto"/>
        <w:ind w:right="294"/>
        <w:jc w:val="both"/>
      </w:pPr>
      <w:r>
        <w:rPr>
          <w:sz w:val="16"/>
        </w:rPr>
        <w:t xml:space="preserve">Stisknutím číselné klávesy „4“ vstoupíte do rozhraní nastavení bolusu. Nastavte průtok bolusu nebo přednastavený objem bolusu pro příslušnou velikost injekční stříkačky podle potřeby a stisknutím potvrzovací klávesy uložte </w:t>
      </w:r>
      <w:r>
        <w:rPr>
          <w:sz w:val="16"/>
        </w:rPr>
        <w:t>nastavení.</w:t>
      </w:r>
    </w:p>
    <w:p>
      <w:pPr>
        <w:pStyle w:val="BodyText"/>
        <w:spacing w:before="155" w:line="278" w:lineRule="auto"/>
        <w:ind w:right="291"/>
        <w:jc w:val="both"/>
      </w:pPr>
      <w:r>
        <w:rPr>
          <w:sz w:val="16"/>
        </w:rPr>
        <w:t>Ruční bolus: V tomto rozhraní by uživatelé měli nastavit „Přednastavený objem bolusu“ na „0“ a uložit stisknutím tlačítka „potvrdit“. Během provozu stiskněte a podržte tlačítko rychlého posunu vpřed, abyste vstoupili do režimu ručního bolusu. Jeho uvolněním se vrátíte k normálnímu provoznímu průtoku.</w:t>
      </w:r>
    </w:p>
    <w:p>
      <w:pPr>
        <w:pStyle w:val="BodyText"/>
        <w:spacing w:line="278" w:lineRule="auto"/>
        <w:ind w:right="294"/>
        <w:jc w:val="both"/>
      </w:pPr>
      <w:r>
        <w:rPr>
          <w:sz w:val="16"/>
        </w:rPr>
        <w:t xml:space="preserve">Automatický </w:t>
      </w:r>
      <w:r>
        <w:rPr>
          <w:sz w:val="16"/>
        </w:rPr>
        <w:t xml:space="preserve">bolus: </w:t>
      </w:r>
      <w:r>
        <w:rPr>
          <w:sz w:val="16"/>
        </w:rPr>
        <w:t xml:space="preserve">Uživatelé </w:t>
      </w:r>
      <w:r>
        <w:rPr>
          <w:sz w:val="16"/>
        </w:rPr>
        <w:t xml:space="preserve">by měli </w:t>
      </w:r>
      <w:r>
        <w:rPr>
          <w:sz w:val="16"/>
        </w:rPr>
        <w:t xml:space="preserve">nastavit </w:t>
      </w:r>
      <w:r>
        <w:rPr>
          <w:sz w:val="16"/>
        </w:rPr>
        <w:t xml:space="preserve">„Přednastavený </w:t>
      </w:r>
      <w:r>
        <w:rPr>
          <w:sz w:val="16"/>
        </w:rPr>
        <w:t>objem</w:t>
      </w:r>
      <w:r>
        <w:rPr>
          <w:sz w:val="16"/>
        </w:rPr>
        <w:t xml:space="preserve"> </w:t>
      </w:r>
      <w:r>
        <w:rPr>
          <w:sz w:val="16"/>
        </w:rPr>
        <w:t>bol</w:t>
      </w:r>
      <w:r>
        <w:rPr>
          <w:sz w:val="16"/>
        </w:rPr>
        <w:t xml:space="preserve">usu“ na </w:t>
      </w:r>
      <w:r>
        <w:rPr>
          <w:sz w:val="16"/>
        </w:rPr>
        <w:t xml:space="preserve">hodnotu </w:t>
      </w:r>
      <w:r>
        <w:rPr>
          <w:sz w:val="16"/>
        </w:rPr>
        <w:t xml:space="preserve">větší </w:t>
      </w:r>
      <w:r>
        <w:rPr>
          <w:sz w:val="16"/>
        </w:rPr>
        <w:t>než</w:t>
      </w:r>
      <w:r>
        <w:rPr>
          <w:sz w:val="16"/>
        </w:rPr>
        <w:t xml:space="preserve"> 0 </w:t>
      </w:r>
      <w:r>
        <w:rPr>
          <w:sz w:val="16"/>
        </w:rPr>
        <w:t xml:space="preserve">a </w:t>
      </w:r>
      <w:r>
        <w:rPr>
          <w:sz w:val="16"/>
        </w:rPr>
        <w:t>uložit jej stisknutím tlačítka „Potvrdit“. Během provozu stiskněte jednou tlačítko „6“ pro spuštění provozu průtoku bolusu, dokud nebude dokončen nastavený přednastavený objem bolusu, poté se vrátí k normálnímu provoznímu průtoku.</w:t>
      </w:r>
    </w:p>
    <w:p>
      <w:pPr>
        <w:pStyle w:val="BodyText"/>
        <w:spacing w:before="69"/>
        <w:ind w:left="0"/>
      </w:pPr>
    </w:p>
    <w:p>
      <w:pPr>
        <w:pStyle w:val="Heading2"/>
        <w:numPr>
          <w:ilvl w:val="2"/>
          <w:numId w:val="1"/>
        </w:numPr>
        <w:tabs>
          <w:tab w:val="left" w:pos="698"/>
        </w:tabs>
        <w:spacing w:before="0" w:after="0" w:line="240" w:lineRule="auto"/>
        <w:ind w:left="698" w:right="0" w:hanging="403"/>
        <w:jc w:val="left"/>
      </w:pPr>
      <w:r>
        <w:rPr>
          <w:spacing w:val="-2"/>
          <w:sz w:val="16"/>
        </w:rPr>
        <w:t xml:space="preserve">Nastavení </w:t>
      </w:r>
      <w:r>
        <w:rPr>
          <w:sz w:val="16"/>
        </w:rPr>
        <w:t xml:space="preserve">průtoku </w:t>
      </w:r>
      <w:r>
        <w:rPr>
          <w:sz w:val="16"/>
        </w:rPr>
        <w:t>KVO</w:t>
      </w:r>
    </w:p>
    <w:p>
      <w:pPr>
        <w:pStyle w:val="BodyText"/>
        <w:spacing w:before="172" w:line="278" w:lineRule="auto"/>
        <w:ind w:right="294"/>
        <w:jc w:val="both"/>
      </w:pPr>
      <w:r>
        <w:rPr>
          <w:sz w:val="16"/>
        </w:rPr>
        <w:t>Stiskněte číselnou klávesu „5“, parametr zámku klávesnice se zvýrazní bílou barvou. Hodnota se pohybuje v rozmezí 0 až 10, zadáním 0 se funkce vypne.</w:t>
      </w:r>
    </w:p>
    <w:p>
      <w:pPr>
        <w:pStyle w:val="Heading2"/>
        <w:spacing w:before="156" w:line="278" w:lineRule="auto"/>
        <w:ind w:right="289"/>
        <w:jc w:val="both"/>
      </w:pPr>
      <w:r>
        <w:rPr>
          <w:sz w:val="16"/>
        </w:rPr>
        <w:t xml:space="preserve">KVO slouží k udržení otevřené žíly pacienta pomocí infuze s přednastaveným nižším </w:t>
      </w:r>
      <w:r>
        <w:rPr>
          <w:sz w:val="16"/>
        </w:rPr>
        <w:t>průtokem.</w:t>
      </w:r>
    </w:p>
    <w:p>
      <w:pPr>
        <w:pStyle w:val="Heading2"/>
        <w:spacing w:after="0" w:line="278" w:lineRule="auto"/>
        <w:jc w:val="both"/>
        <w:sectPr>
          <w:pgSz w:w="8390" w:h="11910"/>
          <w:pgMar w:top="660" w:right="425" w:bottom="540" w:left="425" w:header="0" w:footer="342"/>
          <w:cols w:space="708"/>
        </w:sectPr>
      </w:pPr>
    </w:p>
    <w:p>
      <w:pPr>
        <w:pStyle w:val="ListParagraph"/>
        <w:numPr>
          <w:ilvl w:val="2"/>
          <w:numId w:val="1"/>
        </w:numPr>
        <w:tabs>
          <w:tab w:val="left" w:pos="698"/>
        </w:tabs>
        <w:spacing w:before="64" w:after="0" w:line="240" w:lineRule="auto"/>
        <w:ind w:left="698" w:right="0" w:hanging="403"/>
        <w:jc w:val="left"/>
        <w:rPr>
          <w:b/>
          <w:sz w:val="18"/>
        </w:rPr>
      </w:pPr>
      <w:r>
        <w:rPr>
          <w:b/>
          <w:spacing w:val="-2"/>
          <w:sz w:val="16"/>
        </w:rPr>
        <w:t xml:space="preserve">Nastavení </w:t>
      </w:r>
      <w:r>
        <w:rPr>
          <w:b/>
          <w:sz w:val="16"/>
        </w:rPr>
        <w:t xml:space="preserve">zámku </w:t>
      </w:r>
      <w:r>
        <w:rPr>
          <w:b/>
          <w:sz w:val="16"/>
        </w:rPr>
        <w:t>klávesnice</w:t>
      </w:r>
    </w:p>
    <w:p>
      <w:pPr>
        <w:pStyle w:val="BodyText"/>
        <w:spacing w:before="172" w:line="278" w:lineRule="auto"/>
      </w:pPr>
      <w:r>
        <w:rPr>
          <w:sz w:val="16"/>
        </w:rPr>
        <w:t>Stiskněte číselnou klávesu „6“, parametr zámku klávesnice se zvýrazní bílou barvou. Hodnota se pohybuje v rozmezí 0 až 30, zadáním hodnoty 0 se funkce vypne.</w:t>
      </w:r>
    </w:p>
    <w:p>
      <w:pPr>
        <w:pStyle w:val="BodyText"/>
        <w:spacing w:line="458" w:lineRule="auto"/>
        <w:ind w:right="932" w:firstLine="88"/>
      </w:pPr>
      <w:r>
        <w:rPr>
          <w:sz w:val="16"/>
        </w:rPr>
        <w:t xml:space="preserve">Injekční </w:t>
      </w:r>
      <w:r>
        <w:rPr>
          <w:sz w:val="16"/>
        </w:rPr>
        <w:t xml:space="preserve">pumpa </w:t>
      </w:r>
      <w:r>
        <w:rPr>
          <w:sz w:val="16"/>
        </w:rPr>
        <w:t xml:space="preserve">automaticky </w:t>
      </w:r>
      <w:r>
        <w:rPr>
          <w:sz w:val="16"/>
        </w:rPr>
        <w:t xml:space="preserve">uzamkne </w:t>
      </w:r>
      <w:r>
        <w:rPr>
          <w:sz w:val="16"/>
        </w:rPr>
        <w:t xml:space="preserve">klávesy po uplynutí </w:t>
      </w:r>
      <w:r>
        <w:rPr>
          <w:sz w:val="16"/>
        </w:rPr>
        <w:t xml:space="preserve">nastavené </w:t>
      </w:r>
      <w:r>
        <w:rPr>
          <w:sz w:val="16"/>
        </w:rPr>
        <w:t xml:space="preserve">doby </w:t>
      </w:r>
      <w:r>
        <w:rPr>
          <w:sz w:val="16"/>
        </w:rPr>
        <w:t xml:space="preserve">bez </w:t>
      </w:r>
      <w:r>
        <w:rPr>
          <w:sz w:val="16"/>
        </w:rPr>
        <w:t>ovládání kláves. Chcete-li odemknout, stiskněte „potvrzovací klávesu“ + numerickou klávesu „2“.</w:t>
      </w:r>
    </w:p>
    <w:p>
      <w:pPr>
        <w:pStyle w:val="Heading2"/>
        <w:numPr>
          <w:ilvl w:val="2"/>
          <w:numId w:val="1"/>
        </w:numPr>
        <w:tabs>
          <w:tab w:val="left" w:pos="693"/>
        </w:tabs>
        <w:spacing w:before="124" w:after="0" w:line="240" w:lineRule="auto"/>
        <w:ind w:left="693" w:right="0" w:hanging="398"/>
        <w:jc w:val="left"/>
      </w:pPr>
      <w:r>
        <w:rPr>
          <w:spacing w:val="-2"/>
          <w:sz w:val="16"/>
        </w:rPr>
        <w:t xml:space="preserve">Nastavení </w:t>
      </w:r>
      <w:r>
        <w:rPr>
          <w:spacing w:val="-2"/>
          <w:sz w:val="16"/>
        </w:rPr>
        <w:t>objemu</w:t>
      </w:r>
    </w:p>
    <w:p>
      <w:pPr>
        <w:pStyle w:val="BodyText"/>
        <w:spacing w:before="170" w:line="278" w:lineRule="auto"/>
        <w:ind w:right="291"/>
        <w:jc w:val="both"/>
      </w:pPr>
      <w:r>
        <w:rPr>
          <w:sz w:val="16"/>
        </w:rPr>
        <w:t xml:space="preserve">Stiskněte </w:t>
      </w:r>
      <w:r>
        <w:rPr>
          <w:sz w:val="16"/>
        </w:rPr>
        <w:t xml:space="preserve">číselnou </w:t>
      </w:r>
      <w:r>
        <w:rPr>
          <w:sz w:val="16"/>
        </w:rPr>
        <w:t xml:space="preserve">klávesu „1“, </w:t>
      </w:r>
      <w:r>
        <w:rPr>
          <w:sz w:val="16"/>
        </w:rPr>
        <w:t xml:space="preserve">parametr </w:t>
      </w:r>
      <w:r>
        <w:rPr>
          <w:sz w:val="16"/>
        </w:rPr>
        <w:t xml:space="preserve">hlasitosti </w:t>
      </w:r>
      <w:r>
        <w:rPr>
          <w:sz w:val="16"/>
        </w:rPr>
        <w:t xml:space="preserve">se </w:t>
      </w:r>
      <w:r>
        <w:rPr>
          <w:sz w:val="16"/>
        </w:rPr>
        <w:t xml:space="preserve">zvýrazní </w:t>
      </w:r>
      <w:r>
        <w:rPr>
          <w:sz w:val="16"/>
        </w:rPr>
        <w:t xml:space="preserve">bílou barvou. </w:t>
      </w:r>
      <w:r>
        <w:rPr>
          <w:sz w:val="16"/>
        </w:rPr>
        <w:t xml:space="preserve">Podle </w:t>
      </w:r>
      <w:r>
        <w:rPr>
          <w:sz w:val="16"/>
        </w:rPr>
        <w:t>potřeby použijte číselné klávesy „8“ nebo „9“ k výběru úrovně hlasitosti; k dispozici jsou dvě úrovně, vysoká a nízká (výchozí je vysoká). Výběr potvrďte stisknutím potvrzovací klávesy.</w:t>
      </w:r>
    </w:p>
    <w:p>
      <w:pPr>
        <w:pStyle w:val="BodyText"/>
        <w:spacing w:before="71"/>
        <w:ind w:left="0"/>
      </w:pPr>
    </w:p>
    <w:p>
      <w:pPr>
        <w:pStyle w:val="Heading2"/>
        <w:numPr>
          <w:ilvl w:val="2"/>
          <w:numId w:val="1"/>
        </w:numPr>
        <w:tabs>
          <w:tab w:val="left" w:pos="698"/>
        </w:tabs>
        <w:spacing w:before="0" w:after="0" w:line="240" w:lineRule="auto"/>
        <w:ind w:left="698" w:right="0" w:hanging="403"/>
        <w:jc w:val="left"/>
      </w:pPr>
      <w:r>
        <w:rPr>
          <w:spacing w:val="-2"/>
          <w:sz w:val="16"/>
        </w:rPr>
        <w:t xml:space="preserve">Nastavení </w:t>
      </w:r>
      <w:r>
        <w:rPr>
          <w:sz w:val="16"/>
        </w:rPr>
        <w:t>jasu</w:t>
      </w:r>
    </w:p>
    <w:p>
      <w:pPr>
        <w:pStyle w:val="BodyText"/>
        <w:spacing w:before="170" w:line="278" w:lineRule="auto"/>
        <w:ind w:right="293"/>
        <w:jc w:val="both"/>
      </w:pPr>
      <w:r>
        <w:rPr>
          <w:sz w:val="16"/>
        </w:rPr>
        <w:t xml:space="preserve">Stisknutím </w:t>
      </w:r>
      <w:r>
        <w:rPr>
          <w:sz w:val="16"/>
        </w:rPr>
        <w:t xml:space="preserve">číselné klávesy „2“ vstoupíte do </w:t>
      </w:r>
      <w:r>
        <w:rPr>
          <w:sz w:val="16"/>
        </w:rPr>
        <w:t xml:space="preserve">rozhraní nastavení </w:t>
      </w:r>
      <w:r>
        <w:rPr>
          <w:sz w:val="16"/>
        </w:rPr>
        <w:t>jasu</w:t>
      </w:r>
      <w:r>
        <w:rPr>
          <w:sz w:val="16"/>
        </w:rPr>
        <w:t xml:space="preserve">, </w:t>
      </w:r>
      <w:r>
        <w:rPr>
          <w:sz w:val="16"/>
        </w:rPr>
        <w:t>parametr podsvícení se zvýrazní bílou barvou. Pomocí číselných kláves „8“ nebo „9“ nastavte jas obrazovky v 10 úrovních (výchozí nastavení je L8). Nastavení potvrďte stisknutím potvrzovací klávesy.</w:t>
      </w:r>
    </w:p>
    <w:p>
      <w:pPr>
        <w:pStyle w:val="BodyText"/>
        <w:spacing w:before="70"/>
        <w:ind w:left="0"/>
      </w:pPr>
    </w:p>
    <w:p>
      <w:pPr>
        <w:pStyle w:val="Heading2"/>
        <w:numPr>
          <w:ilvl w:val="2"/>
          <w:numId w:val="1"/>
        </w:numPr>
        <w:tabs>
          <w:tab w:val="left" w:pos="698"/>
        </w:tabs>
        <w:spacing w:before="1" w:after="0" w:line="240" w:lineRule="auto"/>
        <w:ind w:left="698" w:right="0" w:hanging="403"/>
        <w:jc w:val="left"/>
      </w:pPr>
      <w:r>
        <w:rPr>
          <w:spacing w:val="-2"/>
          <w:sz w:val="16"/>
        </w:rPr>
        <w:t xml:space="preserve">Nastavení </w:t>
      </w:r>
      <w:r>
        <w:rPr>
          <w:sz w:val="16"/>
        </w:rPr>
        <w:t xml:space="preserve">zvuku </w:t>
      </w:r>
      <w:r>
        <w:rPr>
          <w:sz w:val="16"/>
        </w:rPr>
        <w:t>klávesnice</w:t>
      </w:r>
    </w:p>
    <w:p>
      <w:pPr>
        <w:pStyle w:val="BodyText"/>
        <w:spacing w:before="172" w:line="278" w:lineRule="auto"/>
        <w:ind w:right="293"/>
        <w:jc w:val="both"/>
      </w:pPr>
      <w:r>
        <w:rPr>
          <w:sz w:val="16"/>
        </w:rPr>
        <w:t>Stisknutím číselné klávesy „3“ přepnete zvuk klávesnice do polohy „ON“ (zapnout zvuk stisknutí klávesy) nebo „OFF“ (vypnout zvuk stisknutí klávesy) podle vašich preferencí.</w:t>
      </w:r>
    </w:p>
    <w:p>
      <w:pPr>
        <w:pStyle w:val="BodyText"/>
        <w:spacing w:before="71"/>
        <w:ind w:left="0"/>
      </w:pPr>
    </w:p>
    <w:p>
      <w:pPr>
        <w:pStyle w:val="Heading2"/>
        <w:numPr>
          <w:ilvl w:val="2"/>
          <w:numId w:val="1"/>
        </w:numPr>
        <w:tabs>
          <w:tab w:val="left" w:pos="786"/>
        </w:tabs>
        <w:spacing w:before="0" w:after="0" w:line="240" w:lineRule="auto"/>
        <w:ind w:left="786" w:right="0" w:hanging="491"/>
        <w:jc w:val="left"/>
      </w:pPr>
      <w:r>
        <w:rPr>
          <w:spacing w:val="-2"/>
          <w:sz w:val="16"/>
        </w:rPr>
        <w:t xml:space="preserve">Nastavení </w:t>
      </w:r>
      <w:r>
        <w:rPr>
          <w:sz w:val="16"/>
        </w:rPr>
        <w:t>hodin</w:t>
      </w:r>
    </w:p>
    <w:p>
      <w:pPr>
        <w:pStyle w:val="BodyText"/>
        <w:spacing w:before="170" w:line="278" w:lineRule="auto"/>
        <w:ind w:right="291"/>
        <w:jc w:val="both"/>
      </w:pPr>
      <w:r>
        <w:rPr>
          <w:sz w:val="16"/>
        </w:rPr>
        <w:t>Stisknutím číselné klávesy „4“ vstoupíte do rozhraní pro nastavení hodin. Aktuální hodnota, kterou lze upravit, bude zvýrazněna bílou barvou. Zadejte příslušné parametry pomocí číselných kláves a každý z nich uložte stisknutím potvrzovací klávesy. Tímto způsobem postupně nastavte parametry pro rok, měsíc, den, hodinu, minutu a sekundu.</w:t>
      </w:r>
    </w:p>
    <w:p>
      <w:pPr>
        <w:pStyle w:val="BodyText"/>
        <w:spacing w:before="71"/>
        <w:ind w:left="0"/>
      </w:pPr>
    </w:p>
    <w:p>
      <w:pPr>
        <w:pStyle w:val="Heading2"/>
        <w:numPr>
          <w:ilvl w:val="2"/>
          <w:numId w:val="1"/>
        </w:numPr>
        <w:tabs>
          <w:tab w:val="left" w:pos="777"/>
        </w:tabs>
        <w:spacing w:before="0" w:after="0" w:line="240" w:lineRule="auto"/>
        <w:ind w:left="777" w:right="0" w:hanging="482"/>
        <w:jc w:val="left"/>
      </w:pPr>
      <w:r>
        <w:rPr>
          <w:spacing w:val="-2"/>
          <w:sz w:val="16"/>
        </w:rPr>
        <w:t xml:space="preserve">Nastavení </w:t>
      </w:r>
      <w:r>
        <w:rPr>
          <w:sz w:val="16"/>
        </w:rPr>
        <w:t xml:space="preserve">základní hodnoty </w:t>
      </w:r>
      <w:r>
        <w:rPr>
          <w:sz w:val="16"/>
        </w:rPr>
        <w:t>tlaku</w:t>
      </w:r>
    </w:p>
    <w:p>
      <w:pPr>
        <w:pStyle w:val="BodyText"/>
        <w:spacing w:before="170" w:line="278" w:lineRule="auto"/>
        <w:ind w:right="291"/>
        <w:jc w:val="both"/>
      </w:pPr>
      <w:r>
        <w:rPr>
          <w:sz w:val="16"/>
        </w:rPr>
        <w:t xml:space="preserve">Stisknutím číselné klávesy „5“ vstoupíte do rozhraní pro nastavení základní hodnoty tlaku. Stisknutím kláves „1–6“ </w:t>
      </w:r>
      <w:r>
        <w:rPr>
          <w:sz w:val="16"/>
        </w:rPr>
        <w:t xml:space="preserve">nastavíte základní hodnotu tlaku pro různé velikosti injekčních stříkaček, parametr bude zvýrazněn bílou barvou. Zadejte požadovaná čísla a uložte je stisknutím potvrzovací klávesy. Čím menší je hodnota základní hodnoty tlaku, tím vyšší je citlivost alarmu ucpání. K kalibraci je zapotřebí manometr. Upravte tento koeficient podle aktuálně nastaveného převodu a </w:t>
      </w:r>
      <w:r>
        <w:rPr>
          <w:sz w:val="16"/>
        </w:rPr>
        <w:t>hodnoty</w:t>
      </w:r>
      <w:r>
        <w:rPr>
          <w:sz w:val="16"/>
        </w:rPr>
        <w:t xml:space="preserve"> tlaku </w:t>
      </w:r>
      <w:r>
        <w:rPr>
          <w:sz w:val="16"/>
        </w:rPr>
        <w:t xml:space="preserve">testované </w:t>
      </w:r>
      <w:r>
        <w:rPr>
          <w:sz w:val="16"/>
        </w:rPr>
        <w:t xml:space="preserve">tlakoměrem. </w:t>
      </w:r>
      <w:r>
        <w:rPr>
          <w:sz w:val="16"/>
        </w:rPr>
        <w:t xml:space="preserve">Upravte </w:t>
      </w:r>
      <w:r>
        <w:rPr>
          <w:sz w:val="16"/>
        </w:rPr>
        <w:t xml:space="preserve">tento </w:t>
      </w:r>
      <w:r>
        <w:rPr>
          <w:sz w:val="16"/>
        </w:rPr>
        <w:t xml:space="preserve">koeficient </w:t>
      </w:r>
      <w:r>
        <w:rPr>
          <w:sz w:val="16"/>
        </w:rPr>
        <w:t xml:space="preserve">podle </w:t>
      </w:r>
      <w:r>
        <w:rPr>
          <w:sz w:val="16"/>
        </w:rPr>
        <w:t>tabulek</w:t>
      </w:r>
      <w:r>
        <w:rPr>
          <w:sz w:val="16"/>
        </w:rPr>
        <w:t xml:space="preserve"> 833-1 a</w:t>
      </w:r>
      <w:r>
        <w:rPr>
          <w:sz w:val="16"/>
        </w:rPr>
        <w:t xml:space="preserve"> 833-2. Pokud naměřený tlak přesahuje rozsah </w:t>
      </w:r>
      <w:r>
        <w:rPr>
          <w:sz w:val="16"/>
        </w:rPr>
        <w:t xml:space="preserve">daného převodu, </w:t>
      </w:r>
      <w:r>
        <w:rPr>
          <w:sz w:val="16"/>
        </w:rPr>
        <w:t>zvyšte hodnotu základního tlaku, pokud je příliš nízká, nebo ji snižte, pokud je příliš vysoká.</w:t>
      </w:r>
    </w:p>
    <w:p>
      <w:pPr>
        <w:pStyle w:val="BodyText"/>
        <w:spacing w:after="0" w:line="278" w:lineRule="auto"/>
        <w:jc w:val="both"/>
        <w:sectPr>
          <w:pgSz w:w="8390" w:h="11910"/>
          <w:pgMar w:top="700" w:right="425" w:bottom="540" w:left="425" w:header="0" w:footer="342"/>
          <w:cols w:space="708"/>
        </w:sectPr>
      </w:pPr>
    </w:p>
    <w:p>
      <w:pPr>
        <w:pStyle w:val="Heading2"/>
        <w:numPr>
          <w:ilvl w:val="2"/>
          <w:numId w:val="1"/>
        </w:numPr>
        <w:tabs>
          <w:tab w:val="left" w:pos="786"/>
        </w:tabs>
        <w:spacing w:before="64" w:after="0" w:line="240" w:lineRule="auto"/>
        <w:ind w:left="786" w:right="0" w:hanging="491"/>
        <w:jc w:val="left"/>
      </w:pPr>
      <w:r>
        <w:rPr>
          <w:spacing w:val="-2"/>
          <w:sz w:val="16"/>
        </w:rPr>
        <w:t xml:space="preserve">Nastavení </w:t>
      </w:r>
      <w:r>
        <w:rPr>
          <w:sz w:val="16"/>
        </w:rPr>
        <w:t xml:space="preserve">protokolu </w:t>
      </w:r>
      <w:r>
        <w:rPr>
          <w:sz w:val="16"/>
        </w:rPr>
        <w:t>(</w:t>
      </w:r>
      <w:r>
        <w:rPr>
          <w:sz w:val="16"/>
        </w:rPr>
        <w:t xml:space="preserve">záznam </w:t>
      </w:r>
      <w:r>
        <w:rPr>
          <w:sz w:val="16"/>
        </w:rPr>
        <w:t>historie</w:t>
      </w:r>
      <w:r>
        <w:rPr>
          <w:sz w:val="16"/>
        </w:rPr>
        <w:t>)</w:t>
      </w:r>
    </w:p>
    <w:p>
      <w:pPr>
        <w:pStyle w:val="BodyText"/>
        <w:spacing w:before="172" w:line="278" w:lineRule="auto"/>
        <w:ind w:right="293"/>
        <w:jc w:val="both"/>
      </w:pPr>
      <w:r>
        <w:rPr>
          <w:sz w:val="16"/>
        </w:rPr>
        <w:t xml:space="preserve">Stisknutím číselné klávesy „6“ vstoupíte do rozhraní pro dotazování na záznamy historie injekcí. Injekční </w:t>
      </w:r>
      <w:r>
        <w:rPr>
          <w:sz w:val="16"/>
        </w:rPr>
        <w:t xml:space="preserve">pumpa může uložit nejméně 50 000 historických záznamů, včetně zapnutí/vypnutí napájení, spuštění/zastavení injekce </w:t>
      </w:r>
      <w:r>
        <w:rPr>
          <w:sz w:val="16"/>
        </w:rPr>
        <w:t xml:space="preserve">a </w:t>
      </w:r>
      <w:r>
        <w:rPr>
          <w:sz w:val="16"/>
        </w:rPr>
        <w:t>alarmů</w:t>
      </w:r>
      <w:r>
        <w:rPr>
          <w:sz w:val="16"/>
        </w:rPr>
        <w:t>,</w:t>
      </w:r>
      <w:r>
        <w:rPr>
          <w:sz w:val="16"/>
        </w:rPr>
        <w:t xml:space="preserve"> které </w:t>
      </w:r>
      <w:r>
        <w:rPr>
          <w:sz w:val="16"/>
        </w:rPr>
        <w:t xml:space="preserve">se vyskytly </w:t>
      </w:r>
      <w:r>
        <w:rPr>
          <w:sz w:val="16"/>
        </w:rPr>
        <w:t xml:space="preserve">během </w:t>
      </w:r>
      <w:r>
        <w:rPr>
          <w:sz w:val="16"/>
        </w:rPr>
        <w:t xml:space="preserve">procesu </w:t>
      </w:r>
      <w:r>
        <w:rPr>
          <w:sz w:val="16"/>
        </w:rPr>
        <w:t>injekce</w:t>
      </w:r>
      <w:r>
        <w:rPr>
          <w:sz w:val="16"/>
        </w:rPr>
        <w:t xml:space="preserve">. </w:t>
      </w:r>
      <w:r>
        <w:rPr>
          <w:sz w:val="16"/>
        </w:rPr>
        <w:t xml:space="preserve">Když </w:t>
      </w:r>
      <w:r>
        <w:rPr>
          <w:sz w:val="16"/>
        </w:rPr>
        <w:t xml:space="preserve">je </w:t>
      </w:r>
      <w:r>
        <w:rPr>
          <w:sz w:val="16"/>
        </w:rPr>
        <w:t xml:space="preserve">úložiště záznamů </w:t>
      </w:r>
      <w:r>
        <w:rPr>
          <w:sz w:val="16"/>
        </w:rPr>
        <w:t>plné, nové záznamy postupně přepíšou staré.</w:t>
      </w:r>
    </w:p>
    <w:p>
      <w:pPr>
        <w:pStyle w:val="BodyText"/>
        <w:spacing w:line="278" w:lineRule="auto"/>
        <w:ind w:right="291"/>
        <w:jc w:val="both"/>
      </w:pPr>
      <w:r>
        <w:rPr>
          <w:sz w:val="16"/>
        </w:rPr>
        <w:t xml:space="preserve">Můžete vybrat </w:t>
      </w:r>
      <w:r>
        <w:rPr>
          <w:b/>
          <w:sz w:val="16"/>
        </w:rPr>
        <w:t xml:space="preserve">„1. Nahrát záznamy o </w:t>
      </w:r>
      <w:r>
        <w:rPr>
          <w:sz w:val="16"/>
        </w:rPr>
        <w:t xml:space="preserve">injekcích“ a zobrazit všechny podrobné informace o injekcích/alarmech v nástroji MobaXterm. Případně můžete vybrat </w:t>
      </w:r>
      <w:r>
        <w:rPr>
          <w:b/>
          <w:sz w:val="16"/>
        </w:rPr>
        <w:t xml:space="preserve">„2. Zobrazit záznamy o </w:t>
      </w:r>
      <w:r>
        <w:rPr>
          <w:sz w:val="16"/>
        </w:rPr>
        <w:t xml:space="preserve">injekcích“ a přímo zobrazit informace o injekcích/alarmech. Stisknutím </w:t>
      </w:r>
      <w:r>
        <w:rPr>
          <w:sz w:val="16"/>
        </w:rPr>
        <w:t>tlačítka „Zpět“ se vrátíte do rozhraní nastavení parametrů systému.</w:t>
      </w:r>
    </w:p>
    <w:p>
      <w:pPr>
        <w:pStyle w:val="ListParagraph"/>
        <w:numPr>
          <w:ilvl w:val="0"/>
          <w:numId w:val="15"/>
        </w:numPr>
        <w:tabs>
          <w:tab w:val="left" w:pos="593"/>
        </w:tabs>
        <w:spacing w:before="155" w:after="0" w:line="278" w:lineRule="auto"/>
        <w:ind w:left="295" w:right="293" w:firstLine="0"/>
        <w:jc w:val="left"/>
        <w:rPr>
          <w:sz w:val="18"/>
        </w:rPr>
      </w:pPr>
      <w:r>
        <w:rPr>
          <w:b/>
          <w:sz w:val="16"/>
        </w:rPr>
        <w:t>Nahrávání záznamů o vstřikování</w:t>
      </w:r>
      <w:r>
        <w:rPr>
          <w:sz w:val="16"/>
        </w:rPr>
        <w:t xml:space="preserve">: Záznamy můžete zobrazit připojením injekční pumpy </w:t>
      </w:r>
      <w:r>
        <w:rPr>
          <w:sz w:val="16"/>
        </w:rPr>
        <w:t>k počítači pomocí kabelu s rozhraním typu C. Konkrétní postup je následující:</w:t>
      </w:r>
    </w:p>
    <w:p>
      <w:pPr>
        <w:pStyle w:val="ListParagraph"/>
        <w:numPr>
          <w:ilvl w:val="1"/>
          <w:numId w:val="15"/>
        </w:numPr>
        <w:tabs>
          <w:tab w:val="left" w:pos="507"/>
        </w:tabs>
        <w:spacing w:before="156" w:after="0" w:line="240" w:lineRule="auto"/>
        <w:ind w:left="507" w:right="0" w:hanging="212"/>
        <w:jc w:val="left"/>
        <w:rPr>
          <w:sz w:val="18"/>
        </w:rPr>
      </w:pPr>
      <w:r>
        <w:rPr>
          <w:sz w:val="16"/>
        </w:rPr>
        <w:t xml:space="preserve">Otevřete </w:t>
      </w:r>
      <w:r>
        <w:rPr>
          <w:sz w:val="16"/>
        </w:rPr>
        <w:t xml:space="preserve">nástroj MobaXterm, </w:t>
      </w:r>
      <w:r>
        <w:rPr>
          <w:sz w:val="16"/>
        </w:rPr>
        <w:t xml:space="preserve">jak </w:t>
      </w:r>
      <w:r>
        <w:rPr>
          <w:spacing w:val="-2"/>
          <w:sz w:val="16"/>
        </w:rPr>
        <w:t xml:space="preserve">ukazuje </w:t>
      </w:r>
      <w:r>
        <w:rPr>
          <w:sz w:val="16"/>
        </w:rPr>
        <w:t xml:space="preserve">následující </w:t>
      </w:r>
      <w:r>
        <w:rPr>
          <w:sz w:val="16"/>
        </w:rPr>
        <w:t>obrázek</w:t>
      </w:r>
      <w:r>
        <w:rPr>
          <w:spacing w:val="-2"/>
          <w:sz w:val="16"/>
        </w:rPr>
        <w:t>.</w:t>
      </w:r>
    </w:p>
    <w:p>
      <w:pPr>
        <w:pStyle w:val="BodyText"/>
        <w:spacing w:before="2"/>
        <w:ind w:left="0"/>
        <w:rPr>
          <w:sz w:val="12"/>
        </w:rPr>
      </w:pPr>
      <w:r>
        <w:rPr>
          <w:sz w:val="12"/>
        </w:rPr>
        <w:drawing>
          <wp:anchor distT="0" distB="0" distL="0" distR="0" simplePos="0" relativeHeight="251708416" behindDoc="1" locked="0" layoutInCell="1" allowOverlap="1">
            <wp:simplePos x="0" y="0"/>
            <wp:positionH relativeFrom="page">
              <wp:posOffset>684276</wp:posOffset>
            </wp:positionH>
            <wp:positionV relativeFrom="paragraph">
              <wp:posOffset>104545</wp:posOffset>
            </wp:positionV>
            <wp:extent cx="3969409" cy="1804416"/>
            <wp:effectExtent l="0" t="0" r="0" b="0"/>
            <wp:wrapTopAndBottom/>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xmlns:r="http://schemas.openxmlformats.org/officeDocument/2006/relationships" r:embed="rId72" cstate="print"/>
                    <a:stretch>
                      <a:fillRect/>
                    </a:stretch>
                  </pic:blipFill>
                  <pic:spPr>
                    <a:xfrm>
                      <a:off x="0" y="0"/>
                      <a:ext cx="3969409" cy="1804416"/>
                    </a:xfrm>
                    <a:prstGeom prst="rect">
                      <a:avLst/>
                    </a:prstGeom>
                  </pic:spPr>
                </pic:pic>
              </a:graphicData>
            </a:graphic>
          </wp:anchor>
        </w:drawing>
      </w:r>
    </w:p>
    <w:p>
      <w:pPr>
        <w:pStyle w:val="ListParagraph"/>
        <w:numPr>
          <w:ilvl w:val="1"/>
          <w:numId w:val="15"/>
        </w:numPr>
        <w:tabs>
          <w:tab w:val="left" w:pos="520"/>
        </w:tabs>
        <w:spacing w:before="180" w:after="0" w:line="240" w:lineRule="auto"/>
        <w:ind w:left="520" w:right="0" w:hanging="225"/>
        <w:jc w:val="left"/>
        <w:rPr>
          <w:sz w:val="18"/>
        </w:rPr>
      </w:pPr>
      <w:r>
        <w:rPr>
          <w:sz w:val="16"/>
        </w:rPr>
        <w:t xml:space="preserve">Klikněte </w:t>
      </w:r>
      <w:r>
        <w:rPr>
          <w:sz w:val="16"/>
        </w:rPr>
        <w:t xml:space="preserve">na </w:t>
      </w:r>
      <w:r>
        <w:rPr>
          <w:spacing w:val="43"/>
          <w:sz w:val="16"/>
        </w:rPr>
        <w:t>„</w:t>
      </w:r>
      <w:r>
        <w:rPr>
          <w:sz w:val="18"/>
        </w:rPr>
        <w:drawing>
          <wp:inline distT="0" distB="0" distL="0" distR="0">
            <wp:extent cx="445008" cy="281939"/>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xmlns:r="http://schemas.openxmlformats.org/officeDocument/2006/relationships" r:embed="rId73" cstate="print"/>
                    <a:stretch>
                      <a:fillRect/>
                    </a:stretch>
                  </pic:blipFill>
                  <pic:spPr>
                    <a:xfrm>
                      <a:off x="0" y="0"/>
                      <a:ext cx="445008" cy="281939"/>
                    </a:xfrm>
                    <a:prstGeom prst="rect">
                      <a:avLst/>
                    </a:prstGeom>
                  </pic:spPr>
                </pic:pic>
              </a:graphicData>
            </a:graphic>
          </wp:inline>
        </w:drawing>
      </w:r>
      <w:r>
        <w:rPr>
          <w:spacing w:val="43"/>
          <w:sz w:val="16"/>
        </w:rPr>
        <w:t xml:space="preserve"> “ </w:t>
      </w:r>
      <w:r>
        <w:rPr>
          <w:sz w:val="16"/>
        </w:rPr>
        <w:t>(</w:t>
      </w:r>
      <w:r>
        <w:rPr>
          <w:sz w:val="16"/>
        </w:rPr>
        <w:t xml:space="preserve">Zobrazit záznamy o </w:t>
      </w:r>
      <w:r>
        <w:rPr>
          <w:sz w:val="16"/>
        </w:rPr>
        <w:t xml:space="preserve">injekcích) </w:t>
      </w:r>
      <w:r>
        <w:rPr>
          <w:sz w:val="16"/>
        </w:rPr>
        <w:t xml:space="preserve">a </w:t>
      </w:r>
      <w:r>
        <w:rPr>
          <w:sz w:val="16"/>
        </w:rPr>
        <w:t xml:space="preserve">přejděte do </w:t>
      </w:r>
      <w:r>
        <w:rPr>
          <w:sz w:val="16"/>
        </w:rPr>
        <w:t xml:space="preserve">následujícího </w:t>
      </w:r>
      <w:r>
        <w:rPr>
          <w:spacing w:val="-2"/>
          <w:sz w:val="16"/>
        </w:rPr>
        <w:t>rozhraní.</w:t>
      </w:r>
    </w:p>
    <w:p>
      <w:pPr>
        <w:pStyle w:val="BodyText"/>
        <w:spacing w:before="0"/>
        <w:ind w:left="0"/>
        <w:rPr>
          <w:sz w:val="6"/>
        </w:rPr>
      </w:pPr>
      <w:r>
        <w:rPr>
          <w:sz w:val="6"/>
        </w:rPr>
        <w:drawing>
          <wp:anchor distT="0" distB="0" distL="0" distR="0" simplePos="0" relativeHeight="251709440" behindDoc="1" locked="0" layoutInCell="1" allowOverlap="1">
            <wp:simplePos x="0" y="0"/>
            <wp:positionH relativeFrom="page">
              <wp:posOffset>684276</wp:posOffset>
            </wp:positionH>
            <wp:positionV relativeFrom="paragraph">
              <wp:posOffset>59095</wp:posOffset>
            </wp:positionV>
            <wp:extent cx="3890834" cy="1768697"/>
            <wp:effectExtent l="0" t="0" r="0" b="0"/>
            <wp:wrapTopAndBottom/>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xmlns:r="http://schemas.openxmlformats.org/officeDocument/2006/relationships" r:embed="rId74" cstate="print"/>
                    <a:stretch>
                      <a:fillRect/>
                    </a:stretch>
                  </pic:blipFill>
                  <pic:spPr>
                    <a:xfrm>
                      <a:off x="0" y="0"/>
                      <a:ext cx="3890834" cy="1768697"/>
                    </a:xfrm>
                    <a:prstGeom prst="rect">
                      <a:avLst/>
                    </a:prstGeom>
                  </pic:spPr>
                </pic:pic>
              </a:graphicData>
            </a:graphic>
          </wp:anchor>
        </w:drawing>
      </w:r>
    </w:p>
    <w:p>
      <w:pPr>
        <w:pStyle w:val="BodyText"/>
        <w:spacing w:after="0"/>
        <w:rPr>
          <w:sz w:val="6"/>
        </w:rPr>
        <w:sectPr>
          <w:pgSz w:w="8390" w:h="11910"/>
          <w:pgMar w:top="700" w:right="425" w:bottom="540" w:left="425" w:header="0" w:footer="342"/>
          <w:cols w:space="708"/>
        </w:sectPr>
      </w:pPr>
    </w:p>
    <w:p>
      <w:pPr>
        <w:pStyle w:val="BodyText"/>
        <w:spacing w:before="23"/>
        <w:ind w:left="0"/>
      </w:pPr>
    </w:p>
    <w:p>
      <w:pPr>
        <w:pStyle w:val="ListParagraph"/>
        <w:numPr>
          <w:ilvl w:val="1"/>
          <w:numId w:val="15"/>
        </w:numPr>
        <w:tabs>
          <w:tab w:val="left" w:pos="504"/>
          <w:tab w:val="left" w:pos="2265"/>
        </w:tabs>
        <w:spacing w:before="0" w:after="0" w:line="240" w:lineRule="auto"/>
        <w:ind w:left="504" w:right="0" w:hanging="209"/>
        <w:jc w:val="left"/>
        <w:rPr>
          <w:rFonts w:ascii="Calibri"/>
          <w:sz w:val="18"/>
        </w:rPr>
      </w:pPr>
      <w:r>
        <w:rPr>
          <w:rFonts w:ascii="Calibri"/>
          <w:sz w:val="18"/>
        </w:rPr>
        <w:drawing>
          <wp:anchor distT="0" distB="0" distL="0" distR="0" simplePos="0" relativeHeight="251663360" behindDoc="1" locked="0" layoutInCell="1" allowOverlap="1">
            <wp:simplePos x="0" y="0"/>
            <wp:positionH relativeFrom="page">
              <wp:posOffset>1207008</wp:posOffset>
            </wp:positionH>
            <wp:positionV relativeFrom="paragraph">
              <wp:posOffset>-149848</wp:posOffset>
            </wp:positionV>
            <wp:extent cx="410776" cy="222172"/>
            <wp:effectExtent l="0" t="0" r="0" b="0"/>
            <wp:wrapNone/>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xmlns:r="http://schemas.openxmlformats.org/officeDocument/2006/relationships" r:embed="rId75" cstate="print"/>
                    <a:stretch>
                      <a:fillRect/>
                    </a:stretch>
                  </pic:blipFill>
                  <pic:spPr>
                    <a:xfrm>
                      <a:off x="0" y="0"/>
                      <a:ext cx="410776" cy="222172"/>
                    </a:xfrm>
                    <a:prstGeom prst="rect">
                      <a:avLst/>
                    </a:prstGeom>
                  </pic:spPr>
                </pic:pic>
              </a:graphicData>
            </a:graphic>
          </wp:anchor>
        </w:drawing>
      </w:r>
      <w:r>
        <w:rPr>
          <w:sz w:val="16"/>
        </w:rPr>
        <w:t>Klik</w:t>
      </w:r>
      <w:r>
        <w:rPr>
          <w:spacing w:val="-5"/>
          <w:sz w:val="16"/>
        </w:rPr>
        <w:t xml:space="preserve">něte </w:t>
      </w:r>
      <w:r>
        <w:rPr>
          <w:sz w:val="16"/>
        </w:rPr>
        <w:t>na</w:t>
      </w:r>
      <w:r>
        <w:rPr>
          <w:sz w:val="16"/>
        </w:rPr>
        <w:tab/>
      </w:r>
      <w:r>
        <w:rPr>
          <w:sz w:val="16"/>
        </w:rPr>
        <w:t xml:space="preserve">pro </w:t>
      </w:r>
      <w:r>
        <w:rPr>
          <w:sz w:val="16"/>
        </w:rPr>
        <w:t xml:space="preserve">vstup </w:t>
      </w:r>
      <w:r>
        <w:rPr>
          <w:sz w:val="16"/>
        </w:rPr>
        <w:t xml:space="preserve">do </w:t>
      </w:r>
      <w:r>
        <w:rPr>
          <w:sz w:val="16"/>
        </w:rPr>
        <w:t xml:space="preserve">následujícího </w:t>
      </w:r>
      <w:r>
        <w:rPr>
          <w:spacing w:val="-2"/>
          <w:sz w:val="16"/>
        </w:rPr>
        <w:t>rozhraní.</w:t>
      </w:r>
    </w:p>
    <w:p>
      <w:pPr>
        <w:pStyle w:val="BodyText"/>
        <w:spacing w:before="1"/>
        <w:ind w:left="0"/>
        <w:rPr>
          <w:sz w:val="5"/>
        </w:rPr>
      </w:pPr>
      <w:r>
        <w:rPr>
          <w:sz w:val="5"/>
        </w:rPr>
        <w:drawing>
          <wp:anchor distT="0" distB="0" distL="0" distR="0" simplePos="0" relativeHeight="251710464" behindDoc="1" locked="0" layoutInCell="1" allowOverlap="1">
            <wp:simplePos x="0" y="0"/>
            <wp:positionH relativeFrom="page">
              <wp:posOffset>682751</wp:posOffset>
            </wp:positionH>
            <wp:positionV relativeFrom="paragraph">
              <wp:posOffset>52889</wp:posOffset>
            </wp:positionV>
            <wp:extent cx="3926332" cy="1783461"/>
            <wp:effectExtent l="0" t="0" r="0" b="0"/>
            <wp:wrapTopAndBottom/>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xmlns:r="http://schemas.openxmlformats.org/officeDocument/2006/relationships" r:embed="rId76" cstate="print"/>
                    <a:stretch>
                      <a:fillRect/>
                    </a:stretch>
                  </pic:blipFill>
                  <pic:spPr>
                    <a:xfrm>
                      <a:off x="0" y="0"/>
                      <a:ext cx="3926332" cy="1783461"/>
                    </a:xfrm>
                    <a:prstGeom prst="rect">
                      <a:avLst/>
                    </a:prstGeom>
                  </pic:spPr>
                </pic:pic>
              </a:graphicData>
            </a:graphic>
          </wp:anchor>
        </w:drawing>
      </w:r>
    </w:p>
    <w:p>
      <w:pPr>
        <w:pStyle w:val="BodyText"/>
        <w:spacing w:before="102" w:line="259" w:lineRule="auto"/>
        <w:ind w:right="353"/>
      </w:pPr>
      <w:r>
        <w:rPr>
          <w:sz w:val="16"/>
        </w:rPr>
        <w:t>Poté vyberte odpovídající sériový port pomocí</w:t>
      </w:r>
      <w:r>
        <w:rPr>
          <w:spacing w:val="-3"/>
        </w:rPr>
        <w:drawing>
          <wp:inline distT="0" distB="0" distL="0" distR="0">
            <wp:extent cx="810768" cy="172338"/>
            <wp:effectExtent l="0" t="0" r="0" b="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xmlns:r="http://schemas.openxmlformats.org/officeDocument/2006/relationships" r:embed="rId77" cstate="print"/>
                    <a:stretch>
                      <a:fillRect/>
                    </a:stretch>
                  </pic:blipFill>
                  <pic:spPr>
                    <a:xfrm>
                      <a:off x="0" y="0"/>
                      <a:ext cx="810768" cy="172338"/>
                    </a:xfrm>
                    <a:prstGeom prst="rect">
                      <a:avLst/>
                    </a:prstGeom>
                  </pic:spPr>
                </pic:pic>
              </a:graphicData>
            </a:graphic>
          </wp:inline>
        </w:drawing>
      </w:r>
      <w:r>
        <w:rPr>
          <w:sz w:val="16"/>
        </w:rPr>
        <w:t xml:space="preserve"> a zvolte přenosovou rychlost 115200 </w:t>
      </w:r>
      <w:r>
        <w:rPr>
          <w:sz w:val="16"/>
        </w:rPr>
        <w:t>pomocí</w:t>
      </w:r>
      <w:r>
        <w:rPr>
          <w:spacing w:val="-8"/>
        </w:rPr>
        <w:drawing>
          <wp:inline distT="0" distB="0" distL="0" distR="0">
            <wp:extent cx="1233539" cy="122809"/>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xmlns:r="http://schemas.openxmlformats.org/officeDocument/2006/relationships" r:embed="rId78" cstate="print"/>
                    <a:stretch>
                      <a:fillRect/>
                    </a:stretch>
                  </pic:blipFill>
                  <pic:spPr>
                    <a:xfrm>
                      <a:off x="0" y="0"/>
                      <a:ext cx="1233539" cy="122809"/>
                    </a:xfrm>
                    <a:prstGeom prst="rect">
                      <a:avLst/>
                    </a:prstGeom>
                  </pic:spPr>
                </pic:pic>
              </a:graphicData>
            </a:graphic>
          </wp:inline>
        </w:drawing>
      </w:r>
      <w:r>
        <w:rPr>
          <w:sz w:val="16"/>
        </w:rPr>
        <w:t xml:space="preserve"> , </w:t>
      </w:r>
      <w:r>
        <w:rPr>
          <w:sz w:val="16"/>
        </w:rPr>
        <w:t xml:space="preserve">poté </w:t>
      </w:r>
      <w:r>
        <w:rPr>
          <w:sz w:val="16"/>
        </w:rPr>
        <w:t xml:space="preserve">klikněte na </w:t>
      </w:r>
      <w:r>
        <w:rPr>
          <w:sz w:val="16"/>
        </w:rPr>
        <w:t xml:space="preserve">„OK“. </w:t>
      </w:r>
      <w:r>
        <w:rPr>
          <w:sz w:val="16"/>
        </w:rPr>
        <w:t xml:space="preserve">Po </w:t>
      </w:r>
      <w:r>
        <w:rPr>
          <w:sz w:val="16"/>
        </w:rPr>
        <w:t xml:space="preserve">úspěšném </w:t>
      </w:r>
      <w:r>
        <w:rPr>
          <w:sz w:val="16"/>
        </w:rPr>
        <w:t xml:space="preserve">připojení </w:t>
      </w:r>
      <w:r>
        <w:rPr>
          <w:sz w:val="16"/>
        </w:rPr>
        <w:t>stiskněte numerickou klávesu „1“ pro nahrání historického záznamu.</w:t>
      </w:r>
    </w:p>
    <w:p>
      <w:pPr>
        <w:pStyle w:val="ListParagraph"/>
        <w:numPr>
          <w:ilvl w:val="0"/>
          <w:numId w:val="15"/>
        </w:numPr>
        <w:tabs>
          <w:tab w:val="left" w:pos="641"/>
        </w:tabs>
        <w:spacing w:before="174" w:after="0" w:line="278" w:lineRule="auto"/>
        <w:ind w:left="295" w:right="292" w:firstLine="88"/>
        <w:jc w:val="both"/>
        <w:rPr>
          <w:sz w:val="18"/>
        </w:rPr>
      </w:pPr>
      <w:r>
        <w:rPr>
          <w:b/>
          <w:sz w:val="16"/>
        </w:rPr>
        <w:t>Prohlížení záznamů o vstřikování</w:t>
      </w:r>
      <w:r>
        <w:rPr>
          <w:sz w:val="16"/>
        </w:rPr>
        <w:t>: Stiskněte numerickou klávesu „2“ a pomocí kláves Page Up nebo Page Down zobrazte informace o předchozím nebo následujícím záznamu. Upozorňujeme, že alarmy nastavené v systémových nastaveních na „vypnuto“ nebudou zaznamenány. Stisknutím tlačítka „Zpět“ se vrátíte do rozhraní horního menu.</w:t>
      </w:r>
    </w:p>
    <w:p>
      <w:pPr>
        <w:pStyle w:val="BodyText"/>
        <w:spacing w:before="155" w:line="278" w:lineRule="auto"/>
        <w:ind w:right="294"/>
        <w:jc w:val="both"/>
      </w:pPr>
      <w:r>
        <w:rPr>
          <w:sz w:val="16"/>
        </w:rPr>
        <w:t>Poznámka: V záznamech alarmů označuje H.XXX, že se jedná o alarm vysoké úrovně, a L.XXX označuje alarm nízké úrovně.</w:t>
      </w:r>
    </w:p>
    <w:p>
      <w:pPr>
        <w:pStyle w:val="ListParagraph"/>
        <w:numPr>
          <w:ilvl w:val="0"/>
          <w:numId w:val="17"/>
        </w:numPr>
        <w:tabs>
          <w:tab w:val="left" w:pos="545"/>
        </w:tabs>
        <w:spacing w:before="156" w:after="0" w:line="240" w:lineRule="auto"/>
        <w:ind w:left="545" w:right="0" w:hanging="250"/>
        <w:jc w:val="left"/>
        <w:rPr>
          <w:sz w:val="18"/>
        </w:rPr>
      </w:pPr>
      <w:r>
        <w:rPr>
          <w:sz w:val="16"/>
        </w:rPr>
        <w:t xml:space="preserve">Návrat: </w:t>
      </w:r>
      <w:r>
        <w:rPr>
          <w:sz w:val="16"/>
        </w:rPr>
        <w:t xml:space="preserve">Stisknutím </w:t>
      </w:r>
      <w:r>
        <w:rPr>
          <w:sz w:val="16"/>
        </w:rPr>
        <w:t xml:space="preserve">tlačítka „Zpět“ </w:t>
      </w:r>
      <w:r>
        <w:rPr>
          <w:sz w:val="16"/>
        </w:rPr>
        <w:t xml:space="preserve">se </w:t>
      </w:r>
      <w:r>
        <w:rPr>
          <w:sz w:val="16"/>
        </w:rPr>
        <w:t xml:space="preserve">vrátíte </w:t>
      </w:r>
      <w:r>
        <w:rPr>
          <w:sz w:val="16"/>
        </w:rPr>
        <w:t xml:space="preserve">do </w:t>
      </w:r>
      <w:r>
        <w:rPr>
          <w:spacing w:val="-2"/>
          <w:sz w:val="16"/>
        </w:rPr>
        <w:t xml:space="preserve">rozhraní </w:t>
      </w:r>
      <w:r>
        <w:rPr>
          <w:sz w:val="16"/>
        </w:rPr>
        <w:t xml:space="preserve">nastavení </w:t>
      </w:r>
      <w:r>
        <w:rPr>
          <w:sz w:val="16"/>
        </w:rPr>
        <w:t>parametrů systému</w:t>
      </w:r>
      <w:r>
        <w:rPr>
          <w:spacing w:val="-2"/>
          <w:sz w:val="16"/>
        </w:rPr>
        <w:t>.</w:t>
      </w:r>
    </w:p>
    <w:p>
      <w:pPr>
        <w:pStyle w:val="ListParagraph"/>
        <w:numPr>
          <w:ilvl w:val="0"/>
          <w:numId w:val="17"/>
        </w:numPr>
        <w:tabs>
          <w:tab w:val="left" w:pos="538"/>
        </w:tabs>
        <w:spacing w:before="189" w:after="0" w:line="240" w:lineRule="auto"/>
        <w:ind w:left="538" w:right="0" w:hanging="243"/>
        <w:jc w:val="left"/>
        <w:rPr>
          <w:sz w:val="18"/>
        </w:rPr>
      </w:pPr>
      <w:r>
        <w:rPr>
          <w:sz w:val="16"/>
        </w:rPr>
        <w:t xml:space="preserve">Po </w:t>
      </w:r>
      <w:r>
        <w:rPr>
          <w:sz w:val="16"/>
        </w:rPr>
        <w:t xml:space="preserve">vypnutí </w:t>
      </w:r>
      <w:r>
        <w:rPr>
          <w:sz w:val="16"/>
        </w:rPr>
        <w:t xml:space="preserve">uchovává </w:t>
      </w:r>
      <w:r>
        <w:rPr>
          <w:sz w:val="16"/>
        </w:rPr>
        <w:t xml:space="preserve">elektronická </w:t>
      </w:r>
      <w:r>
        <w:rPr>
          <w:sz w:val="16"/>
        </w:rPr>
        <w:t>pam</w:t>
      </w:r>
      <w:r>
        <w:rPr>
          <w:sz w:val="16"/>
        </w:rPr>
        <w:t>ě</w:t>
      </w:r>
      <w:r>
        <w:rPr>
          <w:sz w:val="16"/>
        </w:rPr>
        <w:t xml:space="preserve">ť </w:t>
      </w:r>
      <w:r>
        <w:rPr>
          <w:sz w:val="16"/>
        </w:rPr>
        <w:t xml:space="preserve">data </w:t>
      </w:r>
      <w:r>
        <w:rPr>
          <w:sz w:val="16"/>
        </w:rPr>
        <w:t>po dobu</w:t>
      </w:r>
      <w:r>
        <w:rPr>
          <w:sz w:val="16"/>
        </w:rPr>
        <w:t xml:space="preserve"> 10 </w:t>
      </w:r>
      <w:r>
        <w:rPr>
          <w:spacing w:val="-2"/>
          <w:sz w:val="16"/>
        </w:rPr>
        <w:t>let.</w:t>
      </w:r>
    </w:p>
    <w:p>
      <w:pPr>
        <w:pStyle w:val="BodyText"/>
        <w:spacing w:before="95"/>
        <w:ind w:left="0"/>
      </w:pPr>
    </w:p>
    <w:p>
      <w:pPr>
        <w:pStyle w:val="Heading1"/>
        <w:numPr>
          <w:ilvl w:val="2"/>
          <w:numId w:val="1"/>
        </w:numPr>
        <w:tabs>
          <w:tab w:val="left" w:pos="842"/>
        </w:tabs>
        <w:spacing w:before="0" w:after="0" w:line="240" w:lineRule="auto"/>
        <w:ind w:left="842" w:right="0" w:hanging="547"/>
        <w:jc w:val="left"/>
      </w:pPr>
      <w:r>
        <w:rPr>
          <w:sz w:val="18"/>
        </w:rPr>
        <w:t xml:space="preserve">Žádná </w:t>
      </w:r>
      <w:r>
        <w:rPr>
          <w:sz w:val="18"/>
        </w:rPr>
        <w:t xml:space="preserve">operace </w:t>
      </w:r>
      <w:r>
        <w:rPr>
          <w:spacing w:val="-2"/>
          <w:sz w:val="18"/>
        </w:rPr>
        <w:t xml:space="preserve">Nastavení </w:t>
      </w:r>
      <w:r>
        <w:rPr>
          <w:sz w:val="18"/>
        </w:rPr>
        <w:t>alarmů</w:t>
      </w:r>
    </w:p>
    <w:p>
      <w:pPr>
        <w:pStyle w:val="BodyText"/>
        <w:spacing w:before="159" w:line="278" w:lineRule="auto"/>
        <w:ind w:right="294"/>
        <w:jc w:val="both"/>
      </w:pPr>
      <w:r>
        <w:rPr>
          <w:sz w:val="16"/>
        </w:rPr>
        <w:t>Stiskněte číselnou klávesu „1“ a parametr zámku klávesnice se zvýrazní bílou barvou. Hodnota se pohybuje v rozmezí 1 až 60.</w:t>
      </w:r>
    </w:p>
    <w:p>
      <w:pPr>
        <w:pStyle w:val="BodyText"/>
        <w:jc w:val="both"/>
      </w:pPr>
      <w:r>
        <w:rPr>
          <w:sz w:val="16"/>
        </w:rPr>
        <w:t xml:space="preserve">Pokud </w:t>
      </w:r>
      <w:r>
        <w:rPr>
          <w:sz w:val="16"/>
        </w:rPr>
        <w:t xml:space="preserve">není </w:t>
      </w:r>
      <w:r>
        <w:rPr>
          <w:sz w:val="16"/>
        </w:rPr>
        <w:t xml:space="preserve">stroj </w:t>
      </w:r>
      <w:r>
        <w:rPr>
          <w:sz w:val="16"/>
        </w:rPr>
        <w:t xml:space="preserve">provozován v </w:t>
      </w:r>
      <w:r>
        <w:rPr>
          <w:sz w:val="16"/>
        </w:rPr>
        <w:t xml:space="preserve">nastaveném čase, </w:t>
      </w:r>
      <w:r>
        <w:rPr>
          <w:spacing w:val="-2"/>
          <w:sz w:val="16"/>
        </w:rPr>
        <w:t>vygeneruje</w:t>
      </w:r>
      <w:r>
        <w:rPr>
          <w:sz w:val="16"/>
        </w:rPr>
        <w:t xml:space="preserve"> se </w:t>
      </w:r>
      <w:r>
        <w:rPr>
          <w:sz w:val="16"/>
        </w:rPr>
        <w:t xml:space="preserve">alarm </w:t>
      </w:r>
      <w:r>
        <w:rPr>
          <w:sz w:val="16"/>
        </w:rPr>
        <w:t>bez provozu.</w:t>
      </w:r>
    </w:p>
    <w:p>
      <w:pPr>
        <w:pStyle w:val="BodyText"/>
        <w:spacing w:before="104"/>
        <w:ind w:left="0"/>
      </w:pPr>
    </w:p>
    <w:p>
      <w:pPr>
        <w:pStyle w:val="Heading2"/>
        <w:numPr>
          <w:ilvl w:val="2"/>
          <w:numId w:val="1"/>
        </w:numPr>
        <w:tabs>
          <w:tab w:val="left" w:pos="776"/>
        </w:tabs>
        <w:spacing w:before="0" w:after="0" w:line="240" w:lineRule="auto"/>
        <w:ind w:left="776" w:right="0" w:hanging="481"/>
        <w:jc w:val="left"/>
      </w:pPr>
      <w:r>
        <w:rPr>
          <w:spacing w:val="-2"/>
          <w:sz w:val="16"/>
        </w:rPr>
        <w:t xml:space="preserve">Nastavení </w:t>
      </w:r>
      <w:r>
        <w:rPr>
          <w:sz w:val="16"/>
        </w:rPr>
        <w:t xml:space="preserve">alarmu </w:t>
      </w:r>
      <w:r>
        <w:rPr>
          <w:sz w:val="16"/>
        </w:rPr>
        <w:t xml:space="preserve">blížícího se </w:t>
      </w:r>
      <w:r>
        <w:rPr>
          <w:sz w:val="16"/>
        </w:rPr>
        <w:t>dokončení</w:t>
      </w:r>
    </w:p>
    <w:p>
      <w:pPr>
        <w:pStyle w:val="BodyText"/>
        <w:spacing w:before="165" w:line="273" w:lineRule="auto"/>
        <w:ind w:right="293"/>
        <w:jc w:val="both"/>
      </w:pPr>
      <w:r>
        <w:rPr>
          <w:sz w:val="16"/>
        </w:rPr>
        <w:t>Stiskněte číselnou klávesu „2“. V tomto okamžiku se parametr zámku klávesnice zvýrazní bílou barvou. Pomocí číselných tlačítek „8“ nebo „9“ vyberte „Vypnuto“, „10 minut“, „9 minut“, „8 minut“, „7 minut“, „6 minut“, „5 minut“, „4 minuty“, „3 minuty“, „2 minuty“ nebo „1 minuta“. Stisknutím potvrzovacího tlačítka parametr uložte.</w:t>
      </w:r>
    </w:p>
    <w:p>
      <w:pPr>
        <w:pStyle w:val="BodyText"/>
        <w:spacing w:after="0" w:line="273" w:lineRule="auto"/>
        <w:jc w:val="both"/>
        <w:sectPr>
          <w:pgSz w:w="8390" w:h="11910"/>
          <w:pgMar w:top="720" w:right="425" w:bottom="540" w:left="425" w:header="0" w:footer="342"/>
          <w:cols w:space="708"/>
        </w:sectPr>
      </w:pPr>
    </w:p>
    <w:p>
      <w:pPr>
        <w:pStyle w:val="Heading2"/>
        <w:numPr>
          <w:ilvl w:val="2"/>
          <w:numId w:val="1"/>
        </w:numPr>
        <w:tabs>
          <w:tab w:val="left" w:pos="786"/>
        </w:tabs>
        <w:spacing w:before="64" w:after="0" w:line="240" w:lineRule="auto"/>
        <w:ind w:left="786" w:right="0" w:hanging="491"/>
        <w:jc w:val="left"/>
      </w:pPr>
      <w:r>
        <w:rPr>
          <w:spacing w:val="-2"/>
          <w:sz w:val="16"/>
        </w:rPr>
        <w:t xml:space="preserve">Výběr </w:t>
      </w:r>
      <w:r>
        <w:rPr>
          <w:sz w:val="16"/>
        </w:rPr>
        <w:t xml:space="preserve">nočního </w:t>
      </w:r>
      <w:r>
        <w:rPr>
          <w:sz w:val="16"/>
        </w:rPr>
        <w:t>režimu</w:t>
      </w:r>
    </w:p>
    <w:p>
      <w:pPr>
        <w:pStyle w:val="BodyText"/>
        <w:spacing w:before="167" w:line="273" w:lineRule="auto"/>
        <w:ind w:right="291"/>
        <w:jc w:val="both"/>
      </w:pPr>
      <w:r>
        <w:rPr>
          <w:sz w:val="16"/>
        </w:rPr>
        <w:t>Stiskněte číselnou klávesu „3“ pro vstup do výběru nočního režimu. Poté stiskněte číslo „1“, kde se odpovídající parametr zvýrazní bílou barvou. Podle potřeby použijte číselné klávesy „8“ nebo „9“ pro výběr „Vždy zapnuto“, „Vždy vypnuto“ nebo „Automaticky“.</w:t>
      </w:r>
    </w:p>
    <w:p>
      <w:pPr>
        <w:pStyle w:val="BodyText"/>
        <w:spacing w:before="84" w:line="268" w:lineRule="auto"/>
        <w:ind w:right="291"/>
        <w:jc w:val="both"/>
      </w:pPr>
      <w:r>
        <w:rPr>
          <w:sz w:val="16"/>
        </w:rPr>
        <w:t xml:space="preserve">Po aktivaci nočního režimu </w:t>
      </w:r>
      <w:r>
        <w:rPr>
          <w:sz w:val="16"/>
        </w:rPr>
        <w:t>se v dolní části obrazovky zobrazí</w:t>
      </w:r>
      <w:r>
        <w:rPr>
          <w:spacing w:val="19"/>
        </w:rPr>
        <w:drawing>
          <wp:inline distT="0" distB="0" distL="0" distR="0">
            <wp:extent cx="173736" cy="153924"/>
            <wp:effectExtent l="0" t="0" r="0" b="0"/>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xmlns:r="http://schemas.openxmlformats.org/officeDocument/2006/relationships" r:embed="rId79" cstate="print"/>
                    <a:stretch>
                      <a:fillRect/>
                    </a:stretch>
                  </pic:blipFill>
                  <pic:spPr>
                    <a:xfrm>
                      <a:off x="0" y="0"/>
                      <a:ext cx="173736" cy="153924"/>
                    </a:xfrm>
                    <a:prstGeom prst="rect">
                      <a:avLst/>
                    </a:prstGeom>
                  </pic:spPr>
                </pic:pic>
              </a:graphicData>
            </a:graphic>
          </wp:inline>
        </w:drawing>
      </w:r>
      <w:r>
        <w:rPr>
          <w:spacing w:val="19"/>
          <w:sz w:val="16"/>
        </w:rPr>
        <w:t xml:space="preserve"> u </w:t>
      </w:r>
      <w:r>
        <w:rPr>
          <w:sz w:val="16"/>
        </w:rPr>
        <w:t>nočního režimu</w:t>
      </w:r>
      <w:r>
        <w:rPr>
          <w:sz w:val="16"/>
        </w:rPr>
        <w:t xml:space="preserve">. Zvuk klávesnice se vypne, obrazovka se ztlumí a během </w:t>
      </w:r>
      <w:r>
        <w:rPr>
          <w:spacing w:val="-2"/>
          <w:sz w:val="16"/>
        </w:rPr>
        <w:t>injekcí</w:t>
      </w:r>
      <w:r>
        <w:rPr>
          <w:sz w:val="16"/>
        </w:rPr>
        <w:t xml:space="preserve"> nesvítí kontrolka provozu</w:t>
      </w:r>
      <w:r>
        <w:rPr>
          <w:spacing w:val="-2"/>
          <w:sz w:val="16"/>
        </w:rPr>
        <w:t>.</w:t>
      </w:r>
    </w:p>
    <w:p>
      <w:pPr>
        <w:pStyle w:val="BodyText"/>
        <w:spacing w:before="163" w:line="273" w:lineRule="auto"/>
        <w:ind w:right="293"/>
        <w:jc w:val="both"/>
      </w:pPr>
      <w:r>
        <w:rPr>
          <w:sz w:val="16"/>
        </w:rPr>
        <w:t xml:space="preserve">Pokud je nastavena automatická aktivace, můžete nastavit čas zahájení a ukončení. Časový rozsah je od 00:00 do 23:59. Systém automaticky přejde do nočního režimu a opustí jej po dosažení </w:t>
      </w:r>
      <w:r>
        <w:rPr>
          <w:sz w:val="16"/>
        </w:rPr>
        <w:t>přednastaveného času.</w:t>
      </w:r>
    </w:p>
    <w:p>
      <w:pPr>
        <w:pStyle w:val="BodyText"/>
        <w:spacing w:before="76"/>
        <w:ind w:left="0"/>
      </w:pPr>
    </w:p>
    <w:p>
      <w:pPr>
        <w:pStyle w:val="Heading2"/>
        <w:numPr>
          <w:ilvl w:val="2"/>
          <w:numId w:val="1"/>
        </w:numPr>
        <w:tabs>
          <w:tab w:val="left" w:pos="786"/>
        </w:tabs>
        <w:spacing w:before="0" w:after="0" w:line="240" w:lineRule="auto"/>
        <w:ind w:left="786" w:right="0" w:hanging="491"/>
        <w:jc w:val="left"/>
      </w:pPr>
      <w:r>
        <w:rPr>
          <w:spacing w:val="-2"/>
          <w:sz w:val="16"/>
        </w:rPr>
        <w:t xml:space="preserve">Nastavení </w:t>
      </w:r>
      <w:r>
        <w:rPr>
          <w:sz w:val="16"/>
        </w:rPr>
        <w:t>jazyka</w:t>
      </w:r>
    </w:p>
    <w:p>
      <w:pPr>
        <w:pStyle w:val="BodyText"/>
        <w:spacing w:before="165" w:line="273" w:lineRule="auto"/>
        <w:ind w:right="294"/>
        <w:jc w:val="both"/>
      </w:pPr>
      <w:r>
        <w:rPr>
          <w:sz w:val="16"/>
        </w:rPr>
        <w:t>Stisknutím číselné klávesy „4“ vstoupíte do rozhraní nastavení jazyka. Podle svých potřeb vyberte jazyk zařízení stisknutím odpovídajícího čísla. Po výběru jazyka se automaticky vrátíte zpět k nastavení systému.</w:t>
      </w:r>
    </w:p>
    <w:p>
      <w:pPr>
        <w:pStyle w:val="BodyText"/>
        <w:spacing w:before="76"/>
        <w:ind w:left="0"/>
      </w:pPr>
    </w:p>
    <w:p>
      <w:pPr>
        <w:pStyle w:val="Heading2"/>
        <w:numPr>
          <w:ilvl w:val="2"/>
          <w:numId w:val="1"/>
        </w:numPr>
        <w:tabs>
          <w:tab w:val="left" w:pos="786"/>
        </w:tabs>
        <w:spacing w:before="0" w:after="0" w:line="240" w:lineRule="auto"/>
        <w:ind w:left="786" w:right="0" w:hanging="491"/>
        <w:jc w:val="left"/>
      </w:pPr>
      <w:r>
        <w:rPr>
          <w:spacing w:val="-2"/>
          <w:sz w:val="16"/>
        </w:rPr>
        <w:t xml:space="preserve">Nastavení </w:t>
      </w:r>
      <w:r>
        <w:rPr>
          <w:sz w:val="16"/>
        </w:rPr>
        <w:t xml:space="preserve">obnovení </w:t>
      </w:r>
      <w:r>
        <w:rPr>
          <w:sz w:val="16"/>
        </w:rPr>
        <w:t>továrního nastavení</w:t>
      </w:r>
    </w:p>
    <w:p>
      <w:pPr>
        <w:pStyle w:val="BodyText"/>
        <w:spacing w:before="168" w:line="273" w:lineRule="auto"/>
        <w:ind w:right="295"/>
        <w:jc w:val="both"/>
      </w:pPr>
      <w:r>
        <w:rPr>
          <w:sz w:val="16"/>
        </w:rPr>
        <w:t xml:space="preserve">Stisknutím </w:t>
      </w:r>
      <w:r>
        <w:rPr>
          <w:sz w:val="16"/>
        </w:rPr>
        <w:t xml:space="preserve">číselné </w:t>
      </w:r>
      <w:r>
        <w:rPr>
          <w:sz w:val="16"/>
        </w:rPr>
        <w:t xml:space="preserve">klávesy </w:t>
      </w:r>
      <w:r>
        <w:rPr>
          <w:sz w:val="16"/>
        </w:rPr>
        <w:t xml:space="preserve">„5“ </w:t>
      </w:r>
      <w:r>
        <w:rPr>
          <w:sz w:val="16"/>
        </w:rPr>
        <w:t xml:space="preserve">a </w:t>
      </w:r>
      <w:r>
        <w:rPr>
          <w:sz w:val="16"/>
        </w:rPr>
        <w:t xml:space="preserve">potvrzením </w:t>
      </w:r>
      <w:r>
        <w:rPr>
          <w:sz w:val="16"/>
        </w:rPr>
        <w:t xml:space="preserve">vstoupíte </w:t>
      </w:r>
      <w:r>
        <w:rPr>
          <w:sz w:val="16"/>
        </w:rPr>
        <w:t xml:space="preserve">do </w:t>
      </w:r>
      <w:r>
        <w:rPr>
          <w:sz w:val="16"/>
        </w:rPr>
        <w:t xml:space="preserve">rozhraní </w:t>
      </w:r>
      <w:r>
        <w:rPr>
          <w:sz w:val="16"/>
        </w:rPr>
        <w:t xml:space="preserve">pro obnovení </w:t>
      </w:r>
      <w:r>
        <w:rPr>
          <w:sz w:val="16"/>
        </w:rPr>
        <w:t xml:space="preserve">továrního </w:t>
      </w:r>
      <w:r>
        <w:rPr>
          <w:sz w:val="16"/>
        </w:rPr>
        <w:t>nastavení</w:t>
      </w:r>
      <w:r>
        <w:rPr>
          <w:sz w:val="16"/>
        </w:rPr>
        <w:t xml:space="preserve">. </w:t>
      </w:r>
      <w:r>
        <w:rPr>
          <w:sz w:val="16"/>
        </w:rPr>
        <w:t xml:space="preserve">Stisknutím odpovídajícího čísla </w:t>
      </w:r>
      <w:r>
        <w:rPr>
          <w:sz w:val="16"/>
        </w:rPr>
        <w:t xml:space="preserve">vyberte </w:t>
      </w:r>
      <w:r>
        <w:rPr>
          <w:sz w:val="16"/>
        </w:rPr>
        <w:t xml:space="preserve">„Ano“ </w:t>
      </w:r>
      <w:r>
        <w:rPr>
          <w:sz w:val="16"/>
        </w:rPr>
        <w:t xml:space="preserve">nebo </w:t>
      </w:r>
      <w:r>
        <w:rPr>
          <w:sz w:val="16"/>
        </w:rPr>
        <w:t>„Ne“.</w:t>
      </w:r>
    </w:p>
    <w:p>
      <w:pPr>
        <w:pStyle w:val="BodyText"/>
        <w:spacing w:before="159"/>
        <w:jc w:val="both"/>
      </w:pPr>
      <w:r>
        <w:rPr>
          <w:sz w:val="16"/>
        </w:rPr>
        <w:t xml:space="preserve">Výchozí parametry </w:t>
      </w:r>
      <w:r>
        <w:rPr>
          <w:sz w:val="16"/>
        </w:rPr>
        <w:t xml:space="preserve">čerpadla </w:t>
      </w:r>
      <w:r>
        <w:rPr>
          <w:sz w:val="16"/>
        </w:rPr>
        <w:t xml:space="preserve">v </w:t>
      </w:r>
      <w:r>
        <w:rPr>
          <w:sz w:val="16"/>
        </w:rPr>
        <w:t xml:space="preserve">době </w:t>
      </w:r>
      <w:r>
        <w:rPr>
          <w:spacing w:val="-2"/>
          <w:sz w:val="16"/>
        </w:rPr>
        <w:t xml:space="preserve">výroby </w:t>
      </w:r>
      <w:r>
        <w:rPr>
          <w:sz w:val="16"/>
        </w:rPr>
        <w:t xml:space="preserve">najdete </w:t>
      </w:r>
      <w:r>
        <w:rPr>
          <w:sz w:val="16"/>
        </w:rPr>
        <w:t xml:space="preserve">v </w:t>
      </w:r>
      <w:r>
        <w:rPr>
          <w:sz w:val="16"/>
        </w:rPr>
        <w:t xml:space="preserve">tabulce </w:t>
      </w:r>
      <w:r>
        <w:rPr>
          <w:sz w:val="16"/>
        </w:rPr>
        <w:t>níže</w:t>
      </w:r>
      <w:r>
        <w:rPr>
          <w:spacing w:val="-2"/>
          <w:sz w:val="16"/>
        </w:rPr>
        <w:t>.</w:t>
      </w:r>
    </w:p>
    <w:p>
      <w:pPr>
        <w:pStyle w:val="BodyText"/>
        <w:spacing w:before="11"/>
        <w:ind w:left="0"/>
        <w:rPr>
          <w:sz w:val="8"/>
        </w:rPr>
      </w:pPr>
    </w:p>
    <w:tbl>
      <w:tblPr>
        <w:tblStyle w:val="TableNormal"/>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2389"/>
        <w:gridCol w:w="1704"/>
        <w:gridCol w:w="1903"/>
      </w:tblGrid>
      <w:tr>
        <w:tblPrEx>
          <w:tblW w:w="0" w:type="auto"/>
          <w:tblInd w:w="120" w:type="dxa"/>
          <w:tblLayout w:type="fixed"/>
          <w:tblLook w:val="01E0"/>
        </w:tblPrEx>
        <w:trPr>
          <w:trHeight w:val="441"/>
        </w:trPr>
        <w:tc>
          <w:tcPr>
            <w:tcW w:w="1313" w:type="dxa"/>
            <w:shd w:val="clear" w:color="auto" w:fill="99CCFF"/>
          </w:tcPr>
          <w:p>
            <w:pPr>
              <w:pStyle w:val="TableParagraph"/>
              <w:spacing w:before="119"/>
              <w:ind w:left="309"/>
              <w:rPr>
                <w:sz w:val="18"/>
              </w:rPr>
            </w:pPr>
            <w:r>
              <w:rPr>
                <w:spacing w:val="-2"/>
                <w:sz w:val="16"/>
              </w:rPr>
              <w:t>Parametry</w:t>
            </w:r>
          </w:p>
        </w:tc>
        <w:tc>
          <w:tcPr>
            <w:tcW w:w="2389" w:type="dxa"/>
            <w:shd w:val="clear" w:color="auto" w:fill="99CCFF"/>
          </w:tcPr>
          <w:p>
            <w:pPr>
              <w:pStyle w:val="TableParagraph"/>
              <w:spacing w:before="119"/>
              <w:ind w:left="383"/>
              <w:rPr>
                <w:sz w:val="18"/>
              </w:rPr>
            </w:pPr>
            <w:r>
              <w:rPr>
                <w:sz w:val="16"/>
              </w:rPr>
              <w:t xml:space="preserve">Výchozí </w:t>
            </w:r>
            <w:r>
              <w:rPr>
                <w:spacing w:val="-2"/>
                <w:sz w:val="16"/>
              </w:rPr>
              <w:t xml:space="preserve">nastavení </w:t>
            </w:r>
            <w:r>
              <w:rPr>
                <w:sz w:val="16"/>
              </w:rPr>
              <w:t>z výroby</w:t>
            </w:r>
          </w:p>
        </w:tc>
        <w:tc>
          <w:tcPr>
            <w:tcW w:w="1704" w:type="dxa"/>
            <w:shd w:val="clear" w:color="auto" w:fill="99CCFF"/>
          </w:tcPr>
          <w:p>
            <w:pPr>
              <w:pStyle w:val="TableParagraph"/>
              <w:spacing w:before="119"/>
              <w:ind w:left="504"/>
              <w:rPr>
                <w:sz w:val="18"/>
              </w:rPr>
            </w:pPr>
            <w:r>
              <w:rPr>
                <w:spacing w:val="-2"/>
                <w:sz w:val="16"/>
              </w:rPr>
              <w:t>Parametry</w:t>
            </w:r>
          </w:p>
        </w:tc>
        <w:tc>
          <w:tcPr>
            <w:tcW w:w="1903" w:type="dxa"/>
            <w:shd w:val="clear" w:color="auto" w:fill="99CCFF"/>
          </w:tcPr>
          <w:p>
            <w:pPr>
              <w:pStyle w:val="TableParagraph"/>
              <w:spacing w:before="119"/>
              <w:ind w:left="140"/>
              <w:rPr>
                <w:sz w:val="18"/>
              </w:rPr>
            </w:pPr>
            <w:r>
              <w:rPr>
                <w:sz w:val="16"/>
              </w:rPr>
              <w:t xml:space="preserve">Výchozí </w:t>
            </w:r>
            <w:r>
              <w:rPr>
                <w:spacing w:val="-2"/>
                <w:sz w:val="16"/>
              </w:rPr>
              <w:t xml:space="preserve">nastavení </w:t>
            </w:r>
            <w:r>
              <w:rPr>
                <w:sz w:val="16"/>
              </w:rPr>
              <w:t>z výroby</w:t>
            </w:r>
          </w:p>
        </w:tc>
      </w:tr>
      <w:tr>
        <w:tblPrEx>
          <w:tblW w:w="0" w:type="auto"/>
          <w:tblInd w:w="120" w:type="dxa"/>
          <w:tblLayout w:type="fixed"/>
          <w:tblLook w:val="01E0"/>
        </w:tblPrEx>
        <w:trPr>
          <w:trHeight w:val="343"/>
        </w:trPr>
        <w:tc>
          <w:tcPr>
            <w:tcW w:w="1313" w:type="dxa"/>
          </w:tcPr>
          <w:p>
            <w:pPr>
              <w:pStyle w:val="TableParagraph"/>
              <w:spacing w:before="69"/>
              <w:ind w:left="107"/>
              <w:rPr>
                <w:sz w:val="18"/>
              </w:rPr>
            </w:pPr>
            <w:r>
              <w:rPr>
                <w:spacing w:val="-5"/>
                <w:sz w:val="16"/>
              </w:rPr>
              <w:t>KVO</w:t>
            </w:r>
          </w:p>
        </w:tc>
        <w:tc>
          <w:tcPr>
            <w:tcW w:w="2389" w:type="dxa"/>
          </w:tcPr>
          <w:p>
            <w:pPr>
              <w:pStyle w:val="TableParagraph"/>
              <w:spacing w:before="69"/>
              <w:ind w:left="107"/>
              <w:rPr>
                <w:sz w:val="18"/>
              </w:rPr>
            </w:pPr>
            <w:r>
              <w:rPr>
                <w:spacing w:val="-2"/>
                <w:sz w:val="16"/>
              </w:rPr>
              <w:t>0,1 ml/h</w:t>
            </w:r>
          </w:p>
        </w:tc>
        <w:tc>
          <w:tcPr>
            <w:tcW w:w="1704" w:type="dxa"/>
          </w:tcPr>
          <w:p>
            <w:pPr>
              <w:pStyle w:val="TableParagraph"/>
              <w:spacing w:before="69"/>
              <w:ind w:left="106"/>
              <w:rPr>
                <w:sz w:val="18"/>
              </w:rPr>
            </w:pPr>
            <w:r>
              <w:rPr>
                <w:spacing w:val="-2"/>
                <w:sz w:val="16"/>
              </w:rPr>
              <w:t>Jas</w:t>
            </w:r>
          </w:p>
        </w:tc>
        <w:tc>
          <w:tcPr>
            <w:tcW w:w="1903" w:type="dxa"/>
          </w:tcPr>
          <w:p>
            <w:pPr>
              <w:pStyle w:val="TableParagraph"/>
              <w:spacing w:before="69"/>
              <w:ind w:left="106"/>
              <w:rPr>
                <w:sz w:val="18"/>
              </w:rPr>
            </w:pPr>
            <w:r>
              <w:rPr>
                <w:spacing w:val="-5"/>
                <w:sz w:val="16"/>
              </w:rPr>
              <w:t>L8</w:t>
            </w:r>
          </w:p>
        </w:tc>
      </w:tr>
      <w:tr>
        <w:tblPrEx>
          <w:tblW w:w="0" w:type="auto"/>
          <w:tblInd w:w="120" w:type="dxa"/>
          <w:tblLayout w:type="fixed"/>
          <w:tblLook w:val="01E0"/>
        </w:tblPrEx>
        <w:trPr>
          <w:trHeight w:val="626"/>
        </w:trPr>
        <w:tc>
          <w:tcPr>
            <w:tcW w:w="1313" w:type="dxa"/>
          </w:tcPr>
          <w:p>
            <w:pPr>
              <w:pStyle w:val="TableParagraph"/>
              <w:spacing w:before="101" w:line="256" w:lineRule="auto"/>
              <w:ind w:left="107" w:right="164"/>
              <w:rPr>
                <w:sz w:val="18"/>
              </w:rPr>
            </w:pPr>
            <w:r>
              <w:rPr>
                <w:spacing w:val="-2"/>
                <w:sz w:val="16"/>
              </w:rPr>
              <w:t>Úroveň okluze</w:t>
            </w:r>
          </w:p>
        </w:tc>
        <w:tc>
          <w:tcPr>
            <w:tcW w:w="2389" w:type="dxa"/>
          </w:tcPr>
          <w:p>
            <w:pPr>
              <w:pStyle w:val="TableParagraph"/>
              <w:spacing w:before="35" w:line="187" w:lineRule="auto"/>
              <w:ind w:left="107" w:right="94"/>
              <w:rPr>
                <w:sz w:val="18"/>
              </w:rPr>
            </w:pPr>
            <w:r>
              <w:rPr>
                <w:sz w:val="16"/>
              </w:rPr>
              <w:t xml:space="preserve">2/2,5 </w:t>
            </w:r>
            <w:r>
              <w:rPr>
                <w:sz w:val="16"/>
              </w:rPr>
              <w:t xml:space="preserve">ml </w:t>
            </w:r>
            <w:r>
              <w:rPr>
                <w:sz w:val="16"/>
              </w:rPr>
              <w:t>injekční stříkačka</w:t>
            </w:r>
            <w:r>
              <w:rPr>
                <w:rFonts w:ascii="Noto Sans CJK JP" w:eastAsia="Noto Sans CJK JP"/>
                <w:sz w:val="16"/>
              </w:rPr>
              <w:t>:</w:t>
            </w:r>
            <w:r>
              <w:rPr>
                <w:sz w:val="16"/>
              </w:rPr>
              <w:t xml:space="preserve"> 70–109 </w:t>
            </w:r>
            <w:r>
              <w:rPr>
                <w:sz w:val="16"/>
              </w:rPr>
              <w:t>kPa (5–60) ml injekční stříkačka</w:t>
            </w:r>
            <w:r>
              <w:rPr>
                <w:rFonts w:ascii="Noto Sans CJK JP" w:eastAsia="Noto Sans CJK JP"/>
                <w:sz w:val="16"/>
              </w:rPr>
              <w:t>:</w:t>
            </w:r>
            <w:r>
              <w:rPr>
                <w:sz w:val="16"/>
              </w:rPr>
              <w:t xml:space="preserve"> 40 kPa</w:t>
            </w:r>
          </w:p>
        </w:tc>
        <w:tc>
          <w:tcPr>
            <w:tcW w:w="1704" w:type="dxa"/>
          </w:tcPr>
          <w:p>
            <w:pPr>
              <w:pStyle w:val="TableParagraph"/>
              <w:spacing w:before="4"/>
              <w:rPr>
                <w:sz w:val="18"/>
              </w:rPr>
            </w:pPr>
          </w:p>
          <w:p>
            <w:pPr>
              <w:pStyle w:val="TableParagraph"/>
              <w:ind w:left="106"/>
              <w:rPr>
                <w:sz w:val="18"/>
              </w:rPr>
            </w:pPr>
            <w:r>
              <w:rPr>
                <w:spacing w:val="-2"/>
                <w:sz w:val="16"/>
              </w:rPr>
              <w:t xml:space="preserve">Zvuk </w:t>
            </w:r>
            <w:r>
              <w:rPr>
                <w:sz w:val="16"/>
              </w:rPr>
              <w:t>kláves</w:t>
            </w:r>
          </w:p>
        </w:tc>
        <w:tc>
          <w:tcPr>
            <w:tcW w:w="1903" w:type="dxa"/>
          </w:tcPr>
          <w:p>
            <w:pPr>
              <w:pStyle w:val="TableParagraph"/>
              <w:spacing w:before="4"/>
              <w:rPr>
                <w:sz w:val="18"/>
              </w:rPr>
            </w:pPr>
          </w:p>
          <w:p>
            <w:pPr>
              <w:pStyle w:val="TableParagraph"/>
              <w:ind w:left="106"/>
              <w:rPr>
                <w:sz w:val="18"/>
              </w:rPr>
            </w:pPr>
            <w:r>
              <w:rPr>
                <w:spacing w:val="-5"/>
                <w:sz w:val="16"/>
              </w:rPr>
              <w:t>Zapnuto</w:t>
            </w:r>
          </w:p>
        </w:tc>
      </w:tr>
      <w:tr>
        <w:tblPrEx>
          <w:tblW w:w="0" w:type="auto"/>
          <w:tblInd w:w="120" w:type="dxa"/>
          <w:tblLayout w:type="fixed"/>
          <w:tblLook w:val="01E0"/>
        </w:tblPrEx>
        <w:trPr>
          <w:trHeight w:val="343"/>
        </w:trPr>
        <w:tc>
          <w:tcPr>
            <w:tcW w:w="1313" w:type="dxa"/>
          </w:tcPr>
          <w:p>
            <w:pPr>
              <w:pStyle w:val="TableParagraph"/>
              <w:spacing w:before="70"/>
              <w:ind w:left="107"/>
              <w:rPr>
                <w:sz w:val="18"/>
              </w:rPr>
            </w:pPr>
            <w:r>
              <w:rPr>
                <w:spacing w:val="-2"/>
                <w:sz w:val="16"/>
              </w:rPr>
              <w:t>Stříkačka</w:t>
            </w:r>
          </w:p>
        </w:tc>
        <w:tc>
          <w:tcPr>
            <w:tcW w:w="2389" w:type="dxa"/>
          </w:tcPr>
          <w:p>
            <w:pPr>
              <w:pStyle w:val="TableParagraph"/>
              <w:spacing w:before="70"/>
              <w:ind w:left="107"/>
              <w:rPr>
                <w:sz w:val="18"/>
              </w:rPr>
            </w:pPr>
            <w:r>
              <w:rPr>
                <w:spacing w:val="-2"/>
                <w:sz w:val="16"/>
              </w:rPr>
              <w:t xml:space="preserve">Značka </w:t>
            </w:r>
            <w:r>
              <w:rPr>
                <w:sz w:val="16"/>
              </w:rPr>
              <w:t>Boon</w:t>
            </w:r>
          </w:p>
        </w:tc>
        <w:tc>
          <w:tcPr>
            <w:tcW w:w="1704" w:type="dxa"/>
          </w:tcPr>
          <w:p>
            <w:pPr>
              <w:pStyle w:val="TableParagraph"/>
              <w:spacing w:before="70"/>
              <w:ind w:left="106"/>
              <w:rPr>
                <w:sz w:val="18"/>
              </w:rPr>
            </w:pPr>
            <w:r>
              <w:rPr>
                <w:sz w:val="16"/>
              </w:rPr>
              <w:t xml:space="preserve">Noční </w:t>
            </w:r>
            <w:r>
              <w:rPr>
                <w:spacing w:val="-4"/>
                <w:sz w:val="16"/>
              </w:rPr>
              <w:t>režim</w:t>
            </w:r>
          </w:p>
        </w:tc>
        <w:tc>
          <w:tcPr>
            <w:tcW w:w="1903" w:type="dxa"/>
          </w:tcPr>
          <w:p>
            <w:pPr>
              <w:pStyle w:val="TableParagraph"/>
              <w:spacing w:before="70"/>
              <w:ind w:left="106"/>
              <w:rPr>
                <w:sz w:val="18"/>
              </w:rPr>
            </w:pPr>
            <w:r>
              <w:rPr>
                <w:spacing w:val="-5"/>
                <w:sz w:val="16"/>
              </w:rPr>
              <w:t>VYPNUTO</w:t>
            </w:r>
          </w:p>
        </w:tc>
      </w:tr>
      <w:tr>
        <w:tblPrEx>
          <w:tblW w:w="0" w:type="auto"/>
          <w:tblInd w:w="120" w:type="dxa"/>
          <w:tblLayout w:type="fixed"/>
          <w:tblLook w:val="01E0"/>
        </w:tblPrEx>
        <w:trPr>
          <w:trHeight w:val="343"/>
        </w:trPr>
        <w:tc>
          <w:tcPr>
            <w:tcW w:w="1313" w:type="dxa"/>
          </w:tcPr>
          <w:p>
            <w:pPr>
              <w:pStyle w:val="TableParagraph"/>
              <w:spacing w:before="69"/>
              <w:ind w:left="107"/>
              <w:rPr>
                <w:sz w:val="18"/>
              </w:rPr>
            </w:pPr>
            <w:r>
              <w:rPr>
                <w:spacing w:val="-4"/>
                <w:sz w:val="16"/>
              </w:rPr>
              <w:t xml:space="preserve">Zámek </w:t>
            </w:r>
            <w:r>
              <w:rPr>
                <w:sz w:val="16"/>
              </w:rPr>
              <w:t>kláves</w:t>
            </w:r>
          </w:p>
        </w:tc>
        <w:tc>
          <w:tcPr>
            <w:tcW w:w="2389" w:type="dxa"/>
          </w:tcPr>
          <w:p>
            <w:pPr>
              <w:pStyle w:val="TableParagraph"/>
              <w:spacing w:before="69"/>
              <w:ind w:left="107"/>
              <w:rPr>
                <w:sz w:val="18"/>
              </w:rPr>
            </w:pPr>
            <w:r>
              <w:rPr>
                <w:spacing w:val="-2"/>
                <w:sz w:val="16"/>
              </w:rPr>
              <w:t>nikdy</w:t>
            </w:r>
          </w:p>
        </w:tc>
        <w:tc>
          <w:tcPr>
            <w:tcW w:w="1704" w:type="dxa"/>
          </w:tcPr>
          <w:p>
            <w:pPr>
              <w:pStyle w:val="TableParagraph"/>
              <w:spacing w:before="69"/>
              <w:ind w:left="106"/>
              <w:rPr>
                <w:sz w:val="18"/>
              </w:rPr>
            </w:pPr>
            <w:r>
              <w:rPr>
                <w:sz w:val="16"/>
              </w:rPr>
              <w:t xml:space="preserve">Žádná </w:t>
            </w:r>
            <w:r>
              <w:rPr>
                <w:spacing w:val="-2"/>
                <w:sz w:val="16"/>
              </w:rPr>
              <w:t>operace</w:t>
            </w:r>
          </w:p>
        </w:tc>
        <w:tc>
          <w:tcPr>
            <w:tcW w:w="1903" w:type="dxa"/>
          </w:tcPr>
          <w:p>
            <w:pPr>
              <w:pStyle w:val="TableParagraph"/>
              <w:spacing w:before="69"/>
              <w:ind w:left="106"/>
              <w:rPr>
                <w:sz w:val="18"/>
              </w:rPr>
            </w:pPr>
            <w:r>
              <w:rPr>
                <w:spacing w:val="-5"/>
                <w:sz w:val="16"/>
              </w:rPr>
              <w:t>VYPNUTO</w:t>
            </w:r>
          </w:p>
        </w:tc>
      </w:tr>
      <w:tr>
        <w:tblPrEx>
          <w:tblW w:w="0" w:type="auto"/>
          <w:tblInd w:w="120" w:type="dxa"/>
          <w:tblLayout w:type="fixed"/>
          <w:tblLook w:val="01E0"/>
        </w:tblPrEx>
        <w:trPr>
          <w:trHeight w:val="343"/>
        </w:trPr>
        <w:tc>
          <w:tcPr>
            <w:tcW w:w="1313" w:type="dxa"/>
          </w:tcPr>
          <w:p>
            <w:pPr>
              <w:pStyle w:val="TableParagraph"/>
              <w:spacing w:before="70"/>
              <w:ind w:left="107"/>
              <w:rPr>
                <w:sz w:val="18"/>
              </w:rPr>
            </w:pPr>
            <w:r>
              <w:rPr>
                <w:spacing w:val="-2"/>
                <w:sz w:val="16"/>
              </w:rPr>
              <w:t>Zvuk</w:t>
            </w:r>
          </w:p>
        </w:tc>
        <w:tc>
          <w:tcPr>
            <w:tcW w:w="2389" w:type="dxa"/>
          </w:tcPr>
          <w:p>
            <w:pPr>
              <w:pStyle w:val="TableParagraph"/>
              <w:spacing w:before="70"/>
              <w:ind w:left="107"/>
              <w:rPr>
                <w:sz w:val="18"/>
              </w:rPr>
            </w:pPr>
            <w:r>
              <w:rPr>
                <w:spacing w:val="-5"/>
                <w:sz w:val="16"/>
              </w:rPr>
              <w:t>L5</w:t>
            </w:r>
          </w:p>
        </w:tc>
        <w:tc>
          <w:tcPr>
            <w:tcW w:w="1704" w:type="dxa"/>
          </w:tcPr>
          <w:p>
            <w:pPr>
              <w:pStyle w:val="TableParagraph"/>
              <w:spacing w:before="70"/>
              <w:ind w:left="106"/>
              <w:rPr>
                <w:sz w:val="18"/>
              </w:rPr>
            </w:pPr>
            <w:r>
              <w:rPr>
                <w:spacing w:val="-2"/>
                <w:sz w:val="16"/>
              </w:rPr>
              <w:t xml:space="preserve">Alarm </w:t>
            </w:r>
            <w:r>
              <w:rPr>
                <w:sz w:val="16"/>
              </w:rPr>
              <w:t>„Téměř hotovo“</w:t>
            </w:r>
          </w:p>
        </w:tc>
        <w:tc>
          <w:tcPr>
            <w:tcW w:w="1903" w:type="dxa"/>
          </w:tcPr>
          <w:p>
            <w:pPr>
              <w:pStyle w:val="TableParagraph"/>
              <w:spacing w:before="70"/>
              <w:ind w:left="106"/>
              <w:rPr>
                <w:sz w:val="18"/>
              </w:rPr>
            </w:pPr>
            <w:r>
              <w:rPr>
                <w:spacing w:val="-4"/>
                <w:sz w:val="16"/>
              </w:rPr>
              <w:t>3 min</w:t>
            </w:r>
          </w:p>
        </w:tc>
      </w:tr>
      <w:tr>
        <w:tblPrEx>
          <w:tblW w:w="0" w:type="auto"/>
          <w:tblInd w:w="120" w:type="dxa"/>
          <w:tblLayout w:type="fixed"/>
          <w:tblLook w:val="01E0"/>
        </w:tblPrEx>
        <w:trPr>
          <w:trHeight w:val="1753"/>
        </w:trPr>
        <w:tc>
          <w:tcPr>
            <w:tcW w:w="1313" w:type="dxa"/>
          </w:tcPr>
          <w:p>
            <w:pPr>
              <w:pStyle w:val="TableParagraph"/>
              <w:rPr>
                <w:sz w:val="18"/>
              </w:rPr>
            </w:pPr>
          </w:p>
          <w:p>
            <w:pPr>
              <w:pStyle w:val="TableParagraph"/>
              <w:rPr>
                <w:sz w:val="18"/>
              </w:rPr>
            </w:pPr>
          </w:p>
          <w:p>
            <w:pPr>
              <w:pStyle w:val="TableParagraph"/>
              <w:spacing w:before="153"/>
              <w:rPr>
                <w:sz w:val="18"/>
              </w:rPr>
            </w:pPr>
          </w:p>
          <w:p>
            <w:pPr>
              <w:pStyle w:val="TableParagraph"/>
              <w:ind w:left="107"/>
              <w:rPr>
                <w:sz w:val="18"/>
              </w:rPr>
            </w:pPr>
            <w:r>
              <w:rPr>
                <w:spacing w:val="-2"/>
                <w:sz w:val="16"/>
              </w:rPr>
              <w:t>Očista/Bolus</w:t>
            </w:r>
          </w:p>
        </w:tc>
        <w:tc>
          <w:tcPr>
            <w:tcW w:w="5996" w:type="dxa"/>
            <w:gridSpan w:val="3"/>
          </w:tcPr>
          <w:p>
            <w:pPr>
              <w:pStyle w:val="TableParagraph"/>
              <w:spacing w:before="69" w:line="326" w:lineRule="auto"/>
              <w:ind w:left="107" w:right="3723"/>
              <w:rPr>
                <w:sz w:val="18"/>
              </w:rPr>
            </w:pPr>
            <w:r>
              <w:rPr>
                <w:sz w:val="16"/>
              </w:rPr>
              <w:t xml:space="preserve">2/2,5 ml </w:t>
            </w:r>
            <w:r>
              <w:rPr>
                <w:sz w:val="16"/>
              </w:rPr>
              <w:t>injekční stříkačka:</w:t>
            </w:r>
            <w:r>
              <w:rPr>
                <w:sz w:val="16"/>
              </w:rPr>
              <w:t xml:space="preserve"> 150,00 ml/h 5 ml injekční stříkačka: 150,00 ml/h 10 ml injekční stříkačka: 300,00 ml/h 20 ml injekční stříkačka: 600,00 ml/h 30 ml injekční stříkačka: 900,00 ml/h</w:t>
            </w:r>
          </w:p>
          <w:p>
            <w:pPr>
              <w:pStyle w:val="TableParagraph"/>
              <w:spacing w:before="3"/>
              <w:ind w:left="107"/>
              <w:rPr>
                <w:sz w:val="18"/>
              </w:rPr>
            </w:pPr>
            <w:r>
              <w:rPr>
                <w:sz w:val="16"/>
              </w:rPr>
              <w:t xml:space="preserve">50/60ml </w:t>
            </w:r>
            <w:r>
              <w:rPr>
                <w:sz w:val="16"/>
              </w:rPr>
              <w:t>injekční stříkačka:</w:t>
            </w:r>
            <w:r>
              <w:rPr>
                <w:spacing w:val="-2"/>
                <w:sz w:val="16"/>
              </w:rPr>
              <w:t xml:space="preserve"> 1800,00 ml/h</w:t>
            </w:r>
          </w:p>
        </w:tc>
      </w:tr>
    </w:tbl>
    <w:p>
      <w:pPr>
        <w:pStyle w:val="TableParagraph"/>
        <w:spacing w:after="0"/>
        <w:rPr>
          <w:sz w:val="18"/>
        </w:rPr>
        <w:sectPr>
          <w:pgSz w:w="8390" w:h="11910"/>
          <w:pgMar w:top="700" w:right="425" w:bottom="540" w:left="425" w:header="0" w:footer="342"/>
          <w:cols w:space="708"/>
        </w:sectPr>
      </w:pPr>
    </w:p>
    <w:p>
      <w:pPr>
        <w:pStyle w:val="Heading2"/>
        <w:numPr>
          <w:ilvl w:val="2"/>
          <w:numId w:val="1"/>
        </w:numPr>
        <w:tabs>
          <w:tab w:val="left" w:pos="784"/>
        </w:tabs>
        <w:spacing w:before="64" w:after="0" w:line="240" w:lineRule="auto"/>
        <w:ind w:left="784" w:right="0" w:hanging="489"/>
        <w:jc w:val="left"/>
      </w:pPr>
      <w:r>
        <w:rPr>
          <w:spacing w:val="-4"/>
          <w:sz w:val="16"/>
        </w:rPr>
        <w:t>WIFI</w:t>
      </w:r>
    </w:p>
    <w:p>
      <w:pPr>
        <w:pStyle w:val="BodyText"/>
        <w:spacing w:before="158" w:line="259" w:lineRule="auto"/>
        <w:ind w:right="291"/>
        <w:jc w:val="both"/>
      </w:pPr>
      <w:r>
        <w:rPr>
          <w:sz w:val="16"/>
        </w:rPr>
        <w:t>Tato injekční pumpa podporuje bezdrátové připojení k síti WIFI a lze ji připojit k bezdrátové síti pomocí volitelného modulu WIFI, aby se v reálném čase připojila k našemu softwaru pro monitorování infuzí HK-M1000. Postupujte podle následujících kroků:</w:t>
      </w:r>
    </w:p>
    <w:p>
      <w:pPr>
        <w:pStyle w:val="BodyText"/>
        <w:spacing w:before="157" w:line="261" w:lineRule="auto"/>
        <w:ind w:right="295"/>
        <w:jc w:val="both"/>
      </w:pPr>
      <w:r>
        <w:rPr>
          <w:sz w:val="16"/>
        </w:rPr>
        <w:t>Nastavení WIFI: Stiskněte číselnou klávesu „6“ a přepněte přepínač WIFI do polohy „On“ (Zapnuto), aby se aktivovala funkce WIFI. Výchozí nastavení bude poslední úspěšné připojení k síti.</w:t>
      </w:r>
    </w:p>
    <w:p>
      <w:pPr>
        <w:pStyle w:val="BodyText"/>
        <w:spacing w:before="154" w:line="259" w:lineRule="auto"/>
        <w:ind w:right="291"/>
        <w:jc w:val="both"/>
      </w:pPr>
      <w:r>
        <w:rPr>
          <w:sz w:val="16"/>
        </w:rPr>
        <w:t xml:space="preserve">Konfigurace bezdrátového modulu: Připojte se k softwaru pro monitorování infuzí HK-M1000 bezdrátovým způsobem. Prostřednictvím sítě odešlete parametry injekce v reálném čase, informace o alarmu, informace o výzvách atd. z injekční pumpy do </w:t>
      </w:r>
      <w:r>
        <w:rPr>
          <w:sz w:val="16"/>
        </w:rPr>
        <w:t>softwaru</w:t>
      </w:r>
      <w:r>
        <w:rPr>
          <w:sz w:val="16"/>
        </w:rPr>
        <w:t xml:space="preserve"> pro monitorování infuzí HK-M1000</w:t>
      </w:r>
      <w:r>
        <w:rPr>
          <w:sz w:val="16"/>
        </w:rPr>
        <w:t xml:space="preserve">. </w:t>
      </w:r>
      <w:r>
        <w:rPr>
          <w:sz w:val="16"/>
        </w:rPr>
        <w:t xml:space="preserve">Podrobný </w:t>
      </w:r>
      <w:r>
        <w:rPr>
          <w:sz w:val="16"/>
        </w:rPr>
        <w:t>popis</w:t>
      </w:r>
      <w:r>
        <w:rPr>
          <w:sz w:val="16"/>
        </w:rPr>
        <w:t xml:space="preserve"> </w:t>
      </w:r>
      <w:r>
        <w:rPr>
          <w:sz w:val="16"/>
        </w:rPr>
        <w:t>naleznete</w:t>
      </w:r>
      <w:r>
        <w:rPr>
          <w:sz w:val="16"/>
        </w:rPr>
        <w:t xml:space="preserve"> </w:t>
      </w:r>
      <w:r>
        <w:rPr>
          <w:sz w:val="16"/>
        </w:rPr>
        <w:t xml:space="preserve">v </w:t>
      </w:r>
      <w:r>
        <w:rPr>
          <w:sz w:val="16"/>
        </w:rPr>
        <w:t xml:space="preserve">uživatelské </w:t>
      </w:r>
      <w:r>
        <w:rPr>
          <w:sz w:val="16"/>
        </w:rPr>
        <w:t xml:space="preserve">příručce </w:t>
      </w:r>
      <w:r>
        <w:rPr>
          <w:sz w:val="16"/>
        </w:rPr>
        <w:t>softwaru pro monitorování infuzí HK-M1000.</w:t>
      </w:r>
    </w:p>
    <w:p>
      <w:pPr>
        <w:spacing w:before="159" w:line="259" w:lineRule="auto"/>
        <w:ind w:left="295" w:right="291" w:firstLine="0"/>
        <w:jc w:val="both"/>
        <w:rPr>
          <w:b/>
          <w:sz w:val="18"/>
        </w:rPr>
      </w:pPr>
      <w:r>
        <w:rPr>
          <w:b/>
          <w:sz w:val="16"/>
        </w:rPr>
        <w:t>Poznámka: Nastavení bezdrátové sítě musí provádět technici schválení naší společností nebo servisní personál určený naší společností.</w:t>
      </w:r>
    </w:p>
    <w:p>
      <w:pPr>
        <w:spacing w:before="155" w:line="261" w:lineRule="auto"/>
        <w:ind w:left="295" w:right="291" w:firstLine="0"/>
        <w:jc w:val="both"/>
        <w:rPr>
          <w:b/>
          <w:sz w:val="18"/>
        </w:rPr>
      </w:pPr>
      <w:r>
        <w:rPr>
          <w:b/>
          <w:sz w:val="16"/>
        </w:rPr>
        <w:t xml:space="preserve">Stisknutím číselné klávesy „9“ přejděte na čtvrtou stránku </w:t>
      </w:r>
      <w:r>
        <w:rPr>
          <w:b/>
          <w:sz w:val="16"/>
        </w:rPr>
        <w:t xml:space="preserve">rozhraní pro nastavení </w:t>
      </w:r>
      <w:r>
        <w:rPr>
          <w:b/>
          <w:sz w:val="16"/>
        </w:rPr>
        <w:t>parametrů systémových nastavení</w:t>
      </w:r>
      <w:r>
        <w:rPr>
          <w:b/>
          <w:sz w:val="16"/>
        </w:rPr>
        <w:t>.</w:t>
      </w:r>
    </w:p>
    <w:p>
      <w:pPr>
        <w:pStyle w:val="BodyText"/>
        <w:spacing w:before="81"/>
        <w:ind w:left="0"/>
        <w:rPr>
          <w:b/>
        </w:rPr>
      </w:pPr>
    </w:p>
    <w:p>
      <w:pPr>
        <w:pStyle w:val="ListParagraph"/>
        <w:numPr>
          <w:ilvl w:val="2"/>
          <w:numId w:val="1"/>
        </w:numPr>
        <w:tabs>
          <w:tab w:val="left" w:pos="786"/>
        </w:tabs>
        <w:spacing w:before="0" w:after="0" w:line="240" w:lineRule="auto"/>
        <w:ind w:left="786" w:right="0" w:hanging="491"/>
        <w:jc w:val="left"/>
        <w:rPr>
          <w:b/>
          <w:sz w:val="18"/>
        </w:rPr>
      </w:pPr>
      <w:r>
        <w:rPr>
          <w:b/>
          <w:spacing w:val="-2"/>
          <w:sz w:val="16"/>
        </w:rPr>
        <w:t>Údržba</w:t>
      </w:r>
    </w:p>
    <w:p>
      <w:pPr>
        <w:pStyle w:val="BodyText"/>
        <w:spacing w:before="172" w:line="278" w:lineRule="auto"/>
        <w:ind w:right="294"/>
        <w:jc w:val="both"/>
      </w:pPr>
      <w:r>
        <w:rPr>
          <w:sz w:val="16"/>
        </w:rPr>
        <w:t>Stisknutím číselné klávesy „1“ se parametr zámku klávesnice zvýrazní bílou barvou. Hodnota se pohybuje v rozmezí 0 až 12, zadáním hodnoty 0 se funkce vypne.</w:t>
      </w:r>
    </w:p>
    <w:p>
      <w:pPr>
        <w:pStyle w:val="BodyText"/>
        <w:spacing w:before="71"/>
        <w:ind w:left="0"/>
      </w:pPr>
    </w:p>
    <w:p>
      <w:pPr>
        <w:pStyle w:val="Heading2"/>
        <w:numPr>
          <w:ilvl w:val="2"/>
          <w:numId w:val="1"/>
        </w:numPr>
        <w:tabs>
          <w:tab w:val="left" w:pos="776"/>
        </w:tabs>
        <w:spacing w:before="1" w:after="0" w:line="240" w:lineRule="auto"/>
        <w:ind w:left="776" w:right="0" w:hanging="481"/>
        <w:jc w:val="left"/>
      </w:pPr>
      <w:r>
        <w:rPr>
          <w:spacing w:val="-2"/>
          <w:sz w:val="16"/>
        </w:rPr>
        <w:t>Anti-Bolus</w:t>
      </w:r>
    </w:p>
    <w:p>
      <w:pPr>
        <w:pStyle w:val="BodyText"/>
        <w:spacing w:before="169" w:line="278" w:lineRule="auto"/>
        <w:ind w:right="291"/>
        <w:jc w:val="both"/>
      </w:pPr>
      <w:r>
        <w:rPr>
          <w:sz w:val="16"/>
        </w:rPr>
        <w:t xml:space="preserve">Stiskněte číselnou klávesu „2“ a </w:t>
      </w:r>
      <w:r>
        <w:rPr>
          <w:sz w:val="16"/>
        </w:rPr>
        <w:t xml:space="preserve">podle potřeby </w:t>
      </w:r>
      <w:r>
        <w:rPr>
          <w:sz w:val="16"/>
        </w:rPr>
        <w:t xml:space="preserve">vyberte „ON“ (zapnout </w:t>
      </w:r>
      <w:r>
        <w:rPr>
          <w:sz w:val="16"/>
        </w:rPr>
        <w:t>režim Anti-Bolus) nebo „OFF“ (vypnout režim Anti-Bolus).</w:t>
      </w:r>
    </w:p>
    <w:p>
      <w:pPr>
        <w:pStyle w:val="BodyText"/>
        <w:spacing w:before="71"/>
        <w:ind w:left="0"/>
      </w:pPr>
    </w:p>
    <w:p>
      <w:pPr>
        <w:pStyle w:val="Heading2"/>
        <w:numPr>
          <w:ilvl w:val="2"/>
          <w:numId w:val="1"/>
        </w:numPr>
        <w:tabs>
          <w:tab w:val="left" w:pos="786"/>
        </w:tabs>
        <w:spacing w:before="1" w:after="0" w:line="240" w:lineRule="auto"/>
        <w:ind w:left="786" w:right="0" w:hanging="491"/>
        <w:jc w:val="left"/>
      </w:pPr>
      <w:r>
        <w:rPr>
          <w:spacing w:val="-2"/>
          <w:sz w:val="16"/>
        </w:rPr>
        <w:t xml:space="preserve">Objem </w:t>
      </w:r>
      <w:r>
        <w:rPr>
          <w:sz w:val="16"/>
        </w:rPr>
        <w:t>proplachování</w:t>
      </w:r>
    </w:p>
    <w:p>
      <w:pPr>
        <w:pStyle w:val="BodyText"/>
        <w:spacing w:before="170" w:line="278" w:lineRule="auto"/>
        <w:ind w:right="291"/>
        <w:jc w:val="both"/>
      </w:pPr>
      <w:r>
        <w:rPr>
          <w:sz w:val="16"/>
        </w:rPr>
        <w:t xml:space="preserve">Stiskněte číselnou klávesu „3“ a oblast odpovídající přednastavené hodnotě proplachování se zvýrazní bílou barvou. Nastavte přednastavený objem proplachování podle potřeby a stiskněte </w:t>
      </w:r>
      <w:r>
        <w:rPr>
          <w:sz w:val="16"/>
        </w:rPr>
        <w:t xml:space="preserve">potvrzovací </w:t>
      </w:r>
      <w:r>
        <w:rPr>
          <w:sz w:val="16"/>
        </w:rPr>
        <w:t xml:space="preserve">klávesu </w:t>
      </w:r>
      <w:r>
        <w:rPr>
          <w:sz w:val="16"/>
        </w:rPr>
        <w:t xml:space="preserve">pro </w:t>
      </w:r>
      <w:r>
        <w:rPr>
          <w:sz w:val="16"/>
        </w:rPr>
        <w:t xml:space="preserve">uložení. </w:t>
      </w:r>
      <w:r>
        <w:rPr>
          <w:sz w:val="16"/>
        </w:rPr>
        <w:t xml:space="preserve">Stiskněte </w:t>
      </w:r>
      <w:r>
        <w:rPr>
          <w:sz w:val="16"/>
        </w:rPr>
        <w:t xml:space="preserve">klávesu </w:t>
      </w:r>
      <w:r>
        <w:rPr>
          <w:sz w:val="16"/>
        </w:rPr>
        <w:t>pro rychlý posun vpřed</w:t>
      </w:r>
      <w:r>
        <w:rPr>
          <w:sz w:val="16"/>
        </w:rPr>
        <w:t>,</w:t>
      </w:r>
      <w:r>
        <w:rPr>
          <w:sz w:val="16"/>
        </w:rPr>
        <w:t xml:space="preserve"> </w:t>
      </w:r>
      <w:r>
        <w:rPr>
          <w:sz w:val="16"/>
        </w:rPr>
        <w:t xml:space="preserve">aby </w:t>
      </w:r>
      <w:r>
        <w:rPr>
          <w:sz w:val="16"/>
        </w:rPr>
        <w:t xml:space="preserve">se provedlo </w:t>
      </w:r>
      <w:r>
        <w:rPr>
          <w:sz w:val="16"/>
        </w:rPr>
        <w:t xml:space="preserve">proplachování. </w:t>
      </w:r>
      <w:r>
        <w:rPr>
          <w:sz w:val="16"/>
        </w:rPr>
        <w:t xml:space="preserve">Přednastavený </w:t>
      </w:r>
      <w:r>
        <w:rPr>
          <w:sz w:val="16"/>
        </w:rPr>
        <w:t xml:space="preserve">objem </w:t>
      </w:r>
      <w:r>
        <w:rPr>
          <w:sz w:val="16"/>
        </w:rPr>
        <w:t>nula spustí ruční odstranění vzduchu a přednastavený objem větší než nula spustí automatické proplachování.</w:t>
      </w:r>
    </w:p>
    <w:p>
      <w:pPr>
        <w:pStyle w:val="BodyText"/>
        <w:spacing w:before="70"/>
        <w:ind w:left="0"/>
      </w:pPr>
    </w:p>
    <w:p>
      <w:pPr>
        <w:pStyle w:val="Heading2"/>
        <w:numPr>
          <w:ilvl w:val="2"/>
          <w:numId w:val="1"/>
        </w:numPr>
        <w:tabs>
          <w:tab w:val="left" w:pos="786"/>
        </w:tabs>
        <w:spacing w:before="1" w:after="0" w:line="240" w:lineRule="auto"/>
        <w:ind w:left="786" w:right="0" w:hanging="491"/>
        <w:jc w:val="left"/>
      </w:pPr>
      <w:r>
        <w:rPr>
          <w:spacing w:val="-2"/>
          <w:sz w:val="16"/>
        </w:rPr>
        <w:t xml:space="preserve">Nastavení </w:t>
      </w:r>
      <w:r>
        <w:rPr>
          <w:sz w:val="16"/>
        </w:rPr>
        <w:t xml:space="preserve">zvuku </w:t>
      </w:r>
      <w:r>
        <w:rPr>
          <w:sz w:val="16"/>
        </w:rPr>
        <w:t>kláves</w:t>
      </w:r>
    </w:p>
    <w:p>
      <w:pPr>
        <w:pStyle w:val="BodyText"/>
        <w:spacing w:before="172" w:line="278" w:lineRule="auto"/>
        <w:ind w:right="293"/>
        <w:jc w:val="both"/>
      </w:pPr>
      <w:r>
        <w:rPr>
          <w:sz w:val="16"/>
        </w:rPr>
        <w:t>Stisknutím číselné klávesy „4“ přepnete zvuk klávesnice na „ON“ (zapnout zvuk stisknutí klávesy) nebo „OFF“ (vypnout zvuk stisknutí klávesy) podle svých preferencí.</w:t>
      </w:r>
    </w:p>
    <w:p>
      <w:pPr>
        <w:pStyle w:val="BodyText"/>
        <w:spacing w:before="71"/>
        <w:ind w:left="0"/>
      </w:pPr>
    </w:p>
    <w:p>
      <w:pPr>
        <w:pStyle w:val="Heading2"/>
        <w:numPr>
          <w:ilvl w:val="2"/>
          <w:numId w:val="1"/>
        </w:numPr>
        <w:tabs>
          <w:tab w:val="left" w:pos="786"/>
        </w:tabs>
        <w:spacing w:before="0" w:after="0" w:line="240" w:lineRule="auto"/>
        <w:ind w:left="786" w:right="0" w:hanging="491"/>
        <w:jc w:val="left"/>
      </w:pPr>
      <w:r>
        <w:rPr>
          <w:sz w:val="16"/>
        </w:rPr>
        <w:t xml:space="preserve">Automatická </w:t>
      </w:r>
      <w:r>
        <w:rPr>
          <w:spacing w:val="-2"/>
          <w:sz w:val="16"/>
        </w:rPr>
        <w:t xml:space="preserve">kontrola </w:t>
      </w:r>
      <w:r>
        <w:rPr>
          <w:sz w:val="16"/>
        </w:rPr>
        <w:t>systému</w:t>
      </w:r>
    </w:p>
    <w:p>
      <w:pPr>
        <w:pStyle w:val="BodyText"/>
        <w:spacing w:before="170" w:line="278" w:lineRule="auto"/>
        <w:ind w:right="293"/>
        <w:jc w:val="both"/>
      </w:pPr>
      <w:r>
        <w:rPr>
          <w:sz w:val="16"/>
        </w:rPr>
        <w:t>Stiskněte číselnou klávesu „5“ a podle potřeby vyberte „ON“ (aktivovat samokontrolu systému) nebo „OFF“ (deaktivovat samokontrolu systému).</w:t>
      </w:r>
    </w:p>
    <w:p>
      <w:pPr>
        <w:pStyle w:val="BodyText"/>
        <w:spacing w:after="0" w:line="278" w:lineRule="auto"/>
        <w:jc w:val="both"/>
        <w:sectPr>
          <w:pgSz w:w="8390" w:h="11910"/>
          <w:pgMar w:top="700" w:right="425" w:bottom="540" w:left="425" w:header="0" w:footer="342"/>
          <w:cols w:space="708"/>
        </w:sectPr>
      </w:pPr>
    </w:p>
    <w:p>
      <w:pPr>
        <w:pStyle w:val="Heading2"/>
        <w:numPr>
          <w:ilvl w:val="2"/>
          <w:numId w:val="1"/>
        </w:numPr>
        <w:tabs>
          <w:tab w:val="left" w:pos="786"/>
        </w:tabs>
        <w:spacing w:before="64" w:after="0" w:line="240" w:lineRule="auto"/>
        <w:ind w:left="786" w:right="0" w:hanging="491"/>
        <w:jc w:val="left"/>
      </w:pPr>
      <w:r>
        <w:rPr>
          <w:spacing w:val="-2"/>
          <w:sz w:val="16"/>
        </w:rPr>
        <w:t>Předběžná okluze</w:t>
      </w:r>
    </w:p>
    <w:p>
      <w:pPr>
        <w:pStyle w:val="BodyText"/>
        <w:spacing w:before="172" w:line="278" w:lineRule="auto"/>
        <w:ind w:right="308"/>
      </w:pPr>
      <w:r>
        <w:rPr>
          <w:sz w:val="16"/>
        </w:rPr>
        <w:t>Stiskněte číselnou klávesu „6“ a podle potřeby vyberte „ON“ (aktivovat alarm blížícího se zablokování) nebo „OFF“ (deaktivovat alarm).</w:t>
      </w:r>
    </w:p>
    <w:p>
      <w:pPr>
        <w:pStyle w:val="BodyText"/>
      </w:pPr>
      <w:r>
        <w:rPr>
          <w:sz w:val="16"/>
        </w:rPr>
        <w:t xml:space="preserve">Tento </w:t>
      </w:r>
      <w:r>
        <w:rPr>
          <w:sz w:val="16"/>
        </w:rPr>
        <w:t xml:space="preserve">alarm </w:t>
      </w:r>
      <w:r>
        <w:rPr>
          <w:sz w:val="16"/>
        </w:rPr>
        <w:t xml:space="preserve">se </w:t>
      </w:r>
      <w:r>
        <w:rPr>
          <w:sz w:val="16"/>
        </w:rPr>
        <w:t xml:space="preserve">spustí </w:t>
      </w:r>
      <w:r>
        <w:rPr>
          <w:sz w:val="16"/>
        </w:rPr>
        <w:t xml:space="preserve">při </w:t>
      </w:r>
      <w:r>
        <w:rPr>
          <w:sz w:val="16"/>
        </w:rPr>
        <w:t xml:space="preserve">blížící se </w:t>
      </w:r>
      <w:r>
        <w:rPr>
          <w:spacing w:val="-4"/>
          <w:sz w:val="16"/>
        </w:rPr>
        <w:t>okluzi.</w:t>
      </w:r>
    </w:p>
    <w:p>
      <w:pPr>
        <w:pStyle w:val="BodyText"/>
        <w:spacing w:before="104"/>
        <w:ind w:left="0"/>
      </w:pPr>
    </w:p>
    <w:p>
      <w:pPr>
        <w:pStyle w:val="Heading2"/>
        <w:numPr>
          <w:ilvl w:val="2"/>
          <w:numId w:val="1"/>
        </w:numPr>
        <w:tabs>
          <w:tab w:val="left" w:pos="776"/>
        </w:tabs>
        <w:spacing w:before="1" w:after="0" w:line="240" w:lineRule="auto"/>
        <w:ind w:left="776" w:right="0" w:hanging="481"/>
        <w:jc w:val="left"/>
      </w:pPr>
      <w:r>
        <w:rPr>
          <w:sz w:val="16"/>
        </w:rPr>
        <w:t xml:space="preserve">Automatické </w:t>
      </w:r>
      <w:r>
        <w:rPr>
          <w:spacing w:val="-2"/>
          <w:sz w:val="16"/>
        </w:rPr>
        <w:t>vypnutí</w:t>
      </w:r>
    </w:p>
    <w:p>
      <w:pPr>
        <w:pStyle w:val="BodyText"/>
        <w:spacing w:before="169" w:line="278" w:lineRule="auto"/>
      </w:pPr>
      <w:r>
        <w:rPr>
          <w:sz w:val="16"/>
        </w:rPr>
        <w:t>Stiskněte číselnou klávesu „1“, parametr zámku klávesnice se zvýrazní bílou barvou. Hodnota se pohybuje v rozmezí 0 až 120, zadáním hodnoty 0 se funkce vypne.</w:t>
      </w:r>
    </w:p>
    <w:p>
      <w:pPr>
        <w:pStyle w:val="BodyText"/>
      </w:pPr>
      <w:r>
        <w:rPr>
          <w:sz w:val="16"/>
        </w:rPr>
        <w:t xml:space="preserve">Pokud </w:t>
      </w:r>
      <w:r>
        <w:rPr>
          <w:sz w:val="16"/>
        </w:rPr>
        <w:t xml:space="preserve">není </w:t>
      </w:r>
      <w:r>
        <w:rPr>
          <w:sz w:val="16"/>
        </w:rPr>
        <w:t xml:space="preserve">stroj </w:t>
      </w:r>
      <w:r>
        <w:rPr>
          <w:sz w:val="16"/>
        </w:rPr>
        <w:t xml:space="preserve">provozován v </w:t>
      </w:r>
      <w:r>
        <w:rPr>
          <w:sz w:val="16"/>
        </w:rPr>
        <w:t xml:space="preserve">nastaveném čase, </w:t>
      </w:r>
      <w:r>
        <w:rPr>
          <w:sz w:val="16"/>
        </w:rPr>
        <w:t xml:space="preserve">automaticky se </w:t>
      </w:r>
      <w:r>
        <w:rPr>
          <w:spacing w:val="-4"/>
          <w:sz w:val="16"/>
        </w:rPr>
        <w:t>vypne.</w:t>
      </w:r>
    </w:p>
    <w:p>
      <w:pPr>
        <w:pStyle w:val="BodyText"/>
        <w:spacing w:before="104"/>
        <w:ind w:left="0"/>
      </w:pPr>
    </w:p>
    <w:p>
      <w:pPr>
        <w:pStyle w:val="Heading2"/>
        <w:numPr>
          <w:ilvl w:val="2"/>
          <w:numId w:val="1"/>
        </w:numPr>
        <w:tabs>
          <w:tab w:val="left" w:pos="786"/>
        </w:tabs>
        <w:spacing w:before="1" w:after="0" w:line="240" w:lineRule="auto"/>
        <w:ind w:left="786" w:right="0" w:hanging="491"/>
        <w:jc w:val="left"/>
      </w:pPr>
      <w:r>
        <w:rPr>
          <w:spacing w:val="-2"/>
          <w:sz w:val="16"/>
        </w:rPr>
        <w:t>Komunikace</w:t>
      </w:r>
    </w:p>
    <w:p>
      <w:pPr>
        <w:pStyle w:val="BodyText"/>
        <w:spacing w:before="169"/>
      </w:pPr>
      <w:r>
        <w:rPr>
          <w:sz w:val="16"/>
        </w:rPr>
        <w:t xml:space="preserve">Stiskněte </w:t>
      </w:r>
      <w:r>
        <w:rPr>
          <w:sz w:val="16"/>
        </w:rPr>
        <w:t xml:space="preserve">číselnou klávesu „2“ </w:t>
      </w:r>
      <w:r>
        <w:rPr>
          <w:sz w:val="16"/>
        </w:rPr>
        <w:t xml:space="preserve">pro </w:t>
      </w:r>
      <w:r>
        <w:rPr>
          <w:sz w:val="16"/>
        </w:rPr>
        <w:t xml:space="preserve">vstup </w:t>
      </w:r>
      <w:r>
        <w:rPr>
          <w:sz w:val="16"/>
        </w:rPr>
        <w:t xml:space="preserve">do </w:t>
      </w:r>
      <w:r>
        <w:rPr>
          <w:spacing w:val="-2"/>
          <w:sz w:val="16"/>
        </w:rPr>
        <w:t xml:space="preserve">rozhraní </w:t>
      </w:r>
      <w:r>
        <w:rPr>
          <w:sz w:val="16"/>
        </w:rPr>
        <w:t xml:space="preserve">nastavení </w:t>
      </w:r>
      <w:r>
        <w:rPr>
          <w:sz w:val="16"/>
        </w:rPr>
        <w:t>kaskády</w:t>
      </w:r>
      <w:r>
        <w:rPr>
          <w:spacing w:val="-2"/>
          <w:sz w:val="16"/>
        </w:rPr>
        <w:t>.</w:t>
      </w:r>
    </w:p>
    <w:p>
      <w:pPr>
        <w:pStyle w:val="BodyText"/>
        <w:spacing w:before="189" w:line="278" w:lineRule="auto"/>
      </w:pPr>
      <w:r>
        <w:rPr>
          <w:sz w:val="16"/>
        </w:rPr>
        <w:t xml:space="preserve">Stisknutím </w:t>
      </w:r>
      <w:r>
        <w:rPr>
          <w:sz w:val="16"/>
        </w:rPr>
        <w:t xml:space="preserve">číselné </w:t>
      </w:r>
      <w:r>
        <w:rPr>
          <w:sz w:val="16"/>
        </w:rPr>
        <w:t xml:space="preserve">klávesy </w:t>
      </w:r>
      <w:r>
        <w:rPr>
          <w:sz w:val="16"/>
        </w:rPr>
        <w:t xml:space="preserve">„1“ </w:t>
      </w:r>
      <w:r>
        <w:rPr>
          <w:sz w:val="16"/>
        </w:rPr>
        <w:t xml:space="preserve">zapnete </w:t>
      </w:r>
      <w:r>
        <w:rPr>
          <w:sz w:val="16"/>
        </w:rPr>
        <w:t xml:space="preserve">nebo </w:t>
      </w:r>
      <w:r>
        <w:rPr>
          <w:sz w:val="16"/>
        </w:rPr>
        <w:t xml:space="preserve">vypnete </w:t>
      </w:r>
      <w:r>
        <w:rPr>
          <w:sz w:val="16"/>
        </w:rPr>
        <w:t xml:space="preserve">přepínač </w:t>
      </w:r>
      <w:r>
        <w:rPr>
          <w:sz w:val="16"/>
        </w:rPr>
        <w:t>kaskády</w:t>
      </w:r>
      <w:r>
        <w:rPr>
          <w:sz w:val="16"/>
        </w:rPr>
        <w:t xml:space="preserve">, stisknutím </w:t>
      </w:r>
      <w:r>
        <w:rPr>
          <w:sz w:val="16"/>
        </w:rPr>
        <w:t xml:space="preserve">číselné </w:t>
      </w:r>
      <w:r>
        <w:rPr>
          <w:sz w:val="16"/>
        </w:rPr>
        <w:t xml:space="preserve">klávesy </w:t>
      </w:r>
      <w:r>
        <w:rPr>
          <w:sz w:val="16"/>
        </w:rPr>
        <w:t xml:space="preserve">„2“ </w:t>
      </w:r>
      <w:r>
        <w:rPr>
          <w:sz w:val="16"/>
        </w:rPr>
        <w:t>vyberete kaskádové SN.</w:t>
      </w:r>
    </w:p>
    <w:p>
      <w:pPr>
        <w:pStyle w:val="BodyText"/>
        <w:spacing w:line="278" w:lineRule="auto"/>
        <w:ind w:right="353"/>
      </w:pPr>
      <w:r>
        <w:rPr>
          <w:sz w:val="16"/>
        </w:rPr>
        <w:t xml:space="preserve">Po úspěšné komunikaci se stroj číslo 1 dokončí nebo vyprázdní a stroj </w:t>
      </w:r>
      <w:r>
        <w:rPr>
          <w:sz w:val="16"/>
        </w:rPr>
        <w:t>číslo 2 se spustí automaticky.</w:t>
      </w:r>
    </w:p>
    <w:p>
      <w:pPr>
        <w:pStyle w:val="BodyText"/>
        <w:spacing w:line="278" w:lineRule="auto"/>
      </w:pPr>
      <w:r>
        <w:rPr>
          <w:sz w:val="16"/>
        </w:rPr>
        <w:t xml:space="preserve">Stroj </w:t>
      </w:r>
      <w:r>
        <w:rPr>
          <w:sz w:val="16"/>
        </w:rPr>
        <w:t xml:space="preserve">č. 2 </w:t>
      </w:r>
      <w:r>
        <w:rPr>
          <w:sz w:val="16"/>
        </w:rPr>
        <w:t xml:space="preserve">nelze spustit </w:t>
      </w:r>
      <w:r>
        <w:rPr>
          <w:sz w:val="16"/>
        </w:rPr>
        <w:t xml:space="preserve">předem. Pokud stroj </w:t>
      </w:r>
      <w:r>
        <w:rPr>
          <w:sz w:val="16"/>
        </w:rPr>
        <w:t xml:space="preserve">č. 2 </w:t>
      </w:r>
      <w:r>
        <w:rPr>
          <w:sz w:val="16"/>
        </w:rPr>
        <w:t xml:space="preserve">spustíte </w:t>
      </w:r>
      <w:r>
        <w:rPr>
          <w:sz w:val="16"/>
        </w:rPr>
        <w:t xml:space="preserve">předem, </w:t>
      </w:r>
      <w:r>
        <w:rPr>
          <w:spacing w:val="-2"/>
          <w:sz w:val="16"/>
        </w:rPr>
        <w:t>komunikace</w:t>
      </w:r>
      <w:r>
        <w:rPr>
          <w:sz w:val="16"/>
        </w:rPr>
        <w:t xml:space="preserve"> bude ukončena</w:t>
      </w:r>
      <w:r>
        <w:rPr>
          <w:sz w:val="16"/>
        </w:rPr>
        <w:t>.</w:t>
      </w:r>
    </w:p>
    <w:p>
      <w:pPr>
        <w:pStyle w:val="BodyText"/>
        <w:spacing w:before="71"/>
        <w:ind w:left="0"/>
      </w:pPr>
    </w:p>
    <w:p>
      <w:pPr>
        <w:pStyle w:val="Heading2"/>
        <w:numPr>
          <w:ilvl w:val="2"/>
          <w:numId w:val="1"/>
        </w:numPr>
        <w:tabs>
          <w:tab w:val="left" w:pos="786"/>
        </w:tabs>
        <w:spacing w:before="0" w:after="0" w:line="240" w:lineRule="auto"/>
        <w:ind w:left="786" w:right="0" w:hanging="491"/>
        <w:jc w:val="left"/>
      </w:pPr>
      <w:r>
        <w:rPr>
          <w:spacing w:val="-4"/>
          <w:sz w:val="16"/>
        </w:rPr>
        <w:t xml:space="preserve">Režim </w:t>
      </w:r>
      <w:r>
        <w:rPr>
          <w:sz w:val="16"/>
        </w:rPr>
        <w:t>vývojáře</w:t>
      </w:r>
    </w:p>
    <w:p>
      <w:pPr>
        <w:pStyle w:val="BodyText"/>
        <w:spacing w:before="172" w:line="278" w:lineRule="auto"/>
      </w:pPr>
      <w:r>
        <w:rPr>
          <w:sz w:val="16"/>
        </w:rPr>
        <w:t xml:space="preserve">Tento režim vyžaduje heslo poskytnuté výrobcem a je obecně provozován </w:t>
      </w:r>
      <w:r>
        <w:rPr>
          <w:spacing w:val="-2"/>
          <w:sz w:val="16"/>
        </w:rPr>
        <w:t>výrobcem.</w:t>
      </w:r>
    </w:p>
    <w:p>
      <w:pPr>
        <w:pStyle w:val="BodyText"/>
        <w:spacing w:before="0"/>
        <w:ind w:left="0"/>
      </w:pPr>
    </w:p>
    <w:p>
      <w:pPr>
        <w:pStyle w:val="BodyText"/>
        <w:spacing w:before="31"/>
        <w:ind w:left="0"/>
      </w:pPr>
    </w:p>
    <w:p>
      <w:pPr>
        <w:pStyle w:val="Heading1"/>
        <w:numPr>
          <w:ilvl w:val="0"/>
          <w:numId w:val="1"/>
        </w:numPr>
        <w:tabs>
          <w:tab w:val="left" w:pos="443"/>
        </w:tabs>
        <w:spacing w:before="0" w:after="0" w:line="240" w:lineRule="auto"/>
        <w:ind w:left="443" w:right="0" w:hanging="148"/>
        <w:jc w:val="left"/>
      </w:pPr>
      <w:bookmarkStart w:id="66" w:name="9.Fault Analysis and Troubleshooting"/>
      <w:bookmarkEnd w:id="66"/>
      <w:bookmarkStart w:id="67" w:name="_bookmark33"/>
      <w:bookmarkEnd w:id="67"/>
      <w:r>
        <w:rPr>
          <w:sz w:val="18"/>
        </w:rPr>
        <w:t xml:space="preserve">Analýza </w:t>
      </w:r>
      <w:r>
        <w:rPr>
          <w:sz w:val="18"/>
        </w:rPr>
        <w:t xml:space="preserve">poruch </w:t>
      </w:r>
      <w:r>
        <w:rPr>
          <w:sz w:val="18"/>
        </w:rPr>
        <w:t xml:space="preserve">a </w:t>
      </w:r>
      <w:r>
        <w:rPr>
          <w:spacing w:val="-2"/>
          <w:sz w:val="18"/>
        </w:rPr>
        <w:t>odstraňování problémů</w:t>
      </w:r>
    </w:p>
    <w:p>
      <w:pPr>
        <w:pStyle w:val="BodyText"/>
        <w:spacing w:before="1"/>
        <w:ind w:left="0"/>
        <w:rPr>
          <w:b/>
          <w:sz w:val="8"/>
        </w:rPr>
      </w:pPr>
    </w:p>
    <w:tbl>
      <w:tblPr>
        <w:tblStyle w:val="TableNormal"/>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2379"/>
        <w:gridCol w:w="2957"/>
      </w:tblGrid>
      <w:tr>
        <w:tblPrEx>
          <w:tblW w:w="0" w:type="auto"/>
          <w:tblInd w:w="212" w:type="dxa"/>
          <w:tblLayout w:type="fixed"/>
          <w:tblLook w:val="01E0"/>
        </w:tblPrEx>
        <w:trPr>
          <w:trHeight w:val="353"/>
        </w:trPr>
        <w:tc>
          <w:tcPr>
            <w:tcW w:w="1790" w:type="dxa"/>
            <w:shd w:val="clear" w:color="auto" w:fill="99CCFF"/>
          </w:tcPr>
          <w:p>
            <w:pPr>
              <w:pStyle w:val="TableParagraph"/>
              <w:spacing w:before="77"/>
              <w:ind w:left="166"/>
              <w:rPr>
                <w:b/>
                <w:sz w:val="18"/>
              </w:rPr>
            </w:pPr>
            <w:r>
              <w:rPr>
                <w:b/>
                <w:spacing w:val="-2"/>
                <w:sz w:val="16"/>
              </w:rPr>
              <w:t>Por</w:t>
            </w:r>
            <w:r>
              <w:rPr>
                <w:b/>
                <w:sz w:val="16"/>
              </w:rPr>
              <w:t>ucha</w:t>
            </w:r>
          </w:p>
        </w:tc>
        <w:tc>
          <w:tcPr>
            <w:tcW w:w="2379" w:type="dxa"/>
            <w:shd w:val="clear" w:color="auto" w:fill="99CCFF"/>
          </w:tcPr>
          <w:p>
            <w:pPr>
              <w:pStyle w:val="TableParagraph"/>
              <w:spacing w:before="77"/>
              <w:ind w:left="611"/>
              <w:rPr>
                <w:b/>
                <w:sz w:val="18"/>
              </w:rPr>
            </w:pPr>
            <w:r>
              <w:rPr>
                <w:b/>
                <w:spacing w:val="-2"/>
                <w:sz w:val="16"/>
              </w:rPr>
              <w:t>Analýza příčiny</w:t>
            </w:r>
          </w:p>
        </w:tc>
        <w:tc>
          <w:tcPr>
            <w:tcW w:w="2957" w:type="dxa"/>
            <w:shd w:val="clear" w:color="auto" w:fill="99CCFF"/>
          </w:tcPr>
          <w:p>
            <w:pPr>
              <w:pStyle w:val="TableParagraph"/>
              <w:spacing w:before="77"/>
              <w:ind w:left="6"/>
              <w:jc w:val="center"/>
              <w:rPr>
                <w:b/>
                <w:sz w:val="18"/>
              </w:rPr>
            </w:pPr>
            <w:r>
              <w:rPr>
                <w:b/>
                <w:spacing w:val="-2"/>
                <w:sz w:val="16"/>
              </w:rPr>
              <w:t>Řešení</w:t>
            </w:r>
          </w:p>
        </w:tc>
      </w:tr>
      <w:tr>
        <w:tblPrEx>
          <w:tblW w:w="0" w:type="auto"/>
          <w:tblInd w:w="212" w:type="dxa"/>
          <w:tblLayout w:type="fixed"/>
          <w:tblLook w:val="01E0"/>
        </w:tblPrEx>
        <w:trPr>
          <w:trHeight w:val="813"/>
        </w:trPr>
        <w:tc>
          <w:tcPr>
            <w:tcW w:w="1790"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27"/>
              <w:rPr>
                <w:b/>
                <w:sz w:val="18"/>
              </w:rPr>
            </w:pPr>
          </w:p>
          <w:p>
            <w:pPr>
              <w:pStyle w:val="TableParagraph"/>
              <w:spacing w:before="1"/>
              <w:ind w:left="106"/>
              <w:rPr>
                <w:sz w:val="18"/>
              </w:rPr>
            </w:pPr>
            <w:r>
              <w:rPr>
                <w:spacing w:val="-2"/>
                <w:sz w:val="16"/>
              </w:rPr>
              <w:t>Nepřesnost</w:t>
            </w:r>
          </w:p>
        </w:tc>
        <w:tc>
          <w:tcPr>
            <w:tcW w:w="2379" w:type="dxa"/>
          </w:tcPr>
          <w:p>
            <w:pPr>
              <w:pStyle w:val="TableParagraph"/>
              <w:spacing w:before="78" w:line="266" w:lineRule="auto"/>
              <w:ind w:left="107" w:right="114"/>
              <w:rPr>
                <w:sz w:val="18"/>
              </w:rPr>
            </w:pPr>
            <w:r>
              <w:rPr>
                <w:sz w:val="16"/>
              </w:rPr>
              <w:t xml:space="preserve">Okraj pláště injekční stříkačky není </w:t>
            </w:r>
            <w:r>
              <w:rPr>
                <w:sz w:val="16"/>
              </w:rPr>
              <w:t xml:space="preserve">správně </w:t>
            </w:r>
            <w:r>
              <w:rPr>
                <w:sz w:val="16"/>
              </w:rPr>
              <w:t xml:space="preserve">zasunut </w:t>
            </w:r>
            <w:r>
              <w:rPr>
                <w:sz w:val="16"/>
              </w:rPr>
              <w:t xml:space="preserve">do </w:t>
            </w:r>
            <w:r>
              <w:rPr>
                <w:sz w:val="16"/>
              </w:rPr>
              <w:t>drážky na okraji injekční stříkačky.</w:t>
            </w:r>
          </w:p>
        </w:tc>
        <w:tc>
          <w:tcPr>
            <w:tcW w:w="2957" w:type="dxa"/>
          </w:tcPr>
          <w:p>
            <w:pPr>
              <w:pStyle w:val="TableParagraph"/>
              <w:spacing w:before="98"/>
              <w:rPr>
                <w:b/>
                <w:sz w:val="18"/>
              </w:rPr>
            </w:pPr>
          </w:p>
          <w:p>
            <w:pPr>
              <w:pStyle w:val="TableParagraph"/>
              <w:spacing w:before="1"/>
              <w:ind w:left="106"/>
              <w:rPr>
                <w:sz w:val="18"/>
              </w:rPr>
            </w:pPr>
            <w:r>
              <w:rPr>
                <w:sz w:val="16"/>
              </w:rPr>
              <w:t xml:space="preserve">Nainstalujte </w:t>
            </w:r>
            <w:r>
              <w:rPr>
                <w:sz w:val="16"/>
              </w:rPr>
              <w:t xml:space="preserve">injekční </w:t>
            </w:r>
            <w:r>
              <w:rPr>
                <w:sz w:val="16"/>
              </w:rPr>
              <w:t xml:space="preserve">stříkačku </w:t>
            </w:r>
            <w:r>
              <w:rPr>
                <w:spacing w:val="-2"/>
                <w:sz w:val="16"/>
              </w:rPr>
              <w:t>správně.</w:t>
            </w:r>
          </w:p>
        </w:tc>
      </w:tr>
      <w:tr>
        <w:tblPrEx>
          <w:tblW w:w="0" w:type="auto"/>
          <w:tblInd w:w="212" w:type="dxa"/>
          <w:tblLayout w:type="fixed"/>
          <w:tblLook w:val="01E0"/>
        </w:tblPrEx>
        <w:trPr>
          <w:trHeight w:val="583"/>
        </w:trPr>
        <w:tc>
          <w:tcPr>
            <w:tcW w:w="1790" w:type="dxa"/>
            <w:vMerge/>
            <w:tcBorders>
              <w:top w:val="nil"/>
            </w:tcBorders>
          </w:tcPr>
          <w:p>
            <w:pPr>
              <w:rPr>
                <w:sz w:val="2"/>
                <w:szCs w:val="2"/>
              </w:rPr>
            </w:pPr>
          </w:p>
        </w:tc>
        <w:tc>
          <w:tcPr>
            <w:tcW w:w="2379" w:type="dxa"/>
          </w:tcPr>
          <w:p>
            <w:pPr>
              <w:pStyle w:val="TableParagraph"/>
              <w:spacing w:before="192"/>
              <w:ind w:left="107"/>
              <w:rPr>
                <w:sz w:val="18"/>
              </w:rPr>
            </w:pPr>
            <w:r>
              <w:rPr>
                <w:sz w:val="16"/>
              </w:rPr>
              <w:t xml:space="preserve">Nesprávná </w:t>
            </w:r>
            <w:r>
              <w:rPr>
                <w:spacing w:val="-2"/>
                <w:sz w:val="16"/>
              </w:rPr>
              <w:t>injekční stříkačka</w:t>
            </w:r>
          </w:p>
        </w:tc>
        <w:tc>
          <w:tcPr>
            <w:tcW w:w="2957" w:type="dxa"/>
          </w:tcPr>
          <w:p>
            <w:pPr>
              <w:pStyle w:val="TableParagraph"/>
              <w:spacing w:before="77" w:line="266" w:lineRule="auto"/>
              <w:ind w:left="106"/>
              <w:rPr>
                <w:sz w:val="18"/>
              </w:rPr>
            </w:pPr>
            <w:r>
              <w:rPr>
                <w:sz w:val="16"/>
              </w:rPr>
              <w:t xml:space="preserve">Vyměňte </w:t>
            </w:r>
            <w:r>
              <w:rPr>
                <w:sz w:val="16"/>
              </w:rPr>
              <w:t xml:space="preserve">značku </w:t>
            </w:r>
            <w:r>
              <w:rPr>
                <w:sz w:val="16"/>
              </w:rPr>
              <w:t xml:space="preserve">injekční stříkačky </w:t>
            </w:r>
            <w:r>
              <w:rPr>
                <w:sz w:val="16"/>
              </w:rPr>
              <w:t>nebo ji přizpůsobte.</w:t>
            </w:r>
          </w:p>
        </w:tc>
      </w:tr>
      <w:tr>
        <w:tblPrEx>
          <w:tblW w:w="0" w:type="auto"/>
          <w:tblInd w:w="212" w:type="dxa"/>
          <w:tblLayout w:type="fixed"/>
          <w:tblLook w:val="01E0"/>
        </w:tblPrEx>
        <w:trPr>
          <w:trHeight w:val="812"/>
        </w:trPr>
        <w:tc>
          <w:tcPr>
            <w:tcW w:w="1790" w:type="dxa"/>
            <w:vMerge/>
            <w:tcBorders>
              <w:top w:val="nil"/>
            </w:tcBorders>
          </w:tcPr>
          <w:p>
            <w:pPr>
              <w:rPr>
                <w:sz w:val="2"/>
                <w:szCs w:val="2"/>
              </w:rPr>
            </w:pPr>
          </w:p>
        </w:tc>
        <w:tc>
          <w:tcPr>
            <w:tcW w:w="2379" w:type="dxa"/>
          </w:tcPr>
          <w:p>
            <w:pPr>
              <w:pStyle w:val="TableParagraph"/>
              <w:spacing w:before="99"/>
              <w:rPr>
                <w:b/>
                <w:sz w:val="18"/>
              </w:rPr>
            </w:pPr>
          </w:p>
          <w:p>
            <w:pPr>
              <w:pStyle w:val="TableParagraph"/>
              <w:ind w:left="107"/>
              <w:rPr>
                <w:sz w:val="18"/>
              </w:rPr>
            </w:pPr>
            <w:r>
              <w:rPr>
                <w:spacing w:val="-2"/>
                <w:sz w:val="16"/>
              </w:rPr>
              <w:t xml:space="preserve">Poškození </w:t>
            </w:r>
            <w:r>
              <w:rPr>
                <w:sz w:val="16"/>
              </w:rPr>
              <w:t xml:space="preserve">vnitřních </w:t>
            </w:r>
            <w:r>
              <w:rPr>
                <w:sz w:val="16"/>
              </w:rPr>
              <w:t>součástí</w:t>
            </w:r>
          </w:p>
        </w:tc>
        <w:tc>
          <w:tcPr>
            <w:tcW w:w="2957" w:type="dxa"/>
          </w:tcPr>
          <w:p>
            <w:pPr>
              <w:pStyle w:val="TableParagraph"/>
              <w:spacing w:before="76" w:line="266" w:lineRule="auto"/>
              <w:ind w:left="106" w:right="98"/>
              <w:rPr>
                <w:sz w:val="18"/>
              </w:rPr>
            </w:pPr>
            <w:r>
              <w:rPr>
                <w:sz w:val="16"/>
              </w:rPr>
              <w:t>V</w:t>
            </w:r>
            <w:r>
              <w:rPr>
                <w:sz w:val="16"/>
              </w:rPr>
              <w:t xml:space="preserve">raťte </w:t>
            </w:r>
            <w:r>
              <w:rPr>
                <w:sz w:val="16"/>
              </w:rPr>
              <w:t xml:space="preserve">zařízení </w:t>
            </w:r>
            <w:r>
              <w:rPr>
                <w:sz w:val="16"/>
              </w:rPr>
              <w:t xml:space="preserve">prodejci nebo výrobci k prohlídce a </w:t>
            </w:r>
            <w:r>
              <w:rPr>
                <w:spacing w:val="-2"/>
                <w:sz w:val="16"/>
              </w:rPr>
              <w:t>opravě.</w:t>
            </w:r>
          </w:p>
        </w:tc>
      </w:tr>
    </w:tbl>
    <w:p>
      <w:pPr>
        <w:pStyle w:val="TableParagraph"/>
        <w:spacing w:after="0" w:line="266" w:lineRule="auto"/>
        <w:rPr>
          <w:sz w:val="18"/>
        </w:rPr>
        <w:sectPr>
          <w:pgSz w:w="8390" w:h="11910"/>
          <w:pgMar w:top="700" w:right="425" w:bottom="540" w:left="425" w:header="0" w:footer="342"/>
          <w:cols w:space="708"/>
        </w:sectPr>
      </w:pPr>
    </w:p>
    <w:tbl>
      <w:tblPr>
        <w:tblStyle w:val="TableNormal"/>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2379"/>
        <w:gridCol w:w="2957"/>
      </w:tblGrid>
      <w:tr>
        <w:tblPrEx>
          <w:tblW w:w="0" w:type="auto"/>
          <w:tblInd w:w="212" w:type="dxa"/>
          <w:tblLayout w:type="fixed"/>
          <w:tblLook w:val="01E0"/>
        </w:tblPrEx>
        <w:trPr>
          <w:trHeight w:val="813"/>
        </w:trPr>
        <w:tc>
          <w:tcPr>
            <w:tcW w:w="1790" w:type="dxa"/>
          </w:tcPr>
          <w:p>
            <w:pPr>
              <w:pStyle w:val="TableParagraph"/>
              <w:spacing w:before="192" w:line="266" w:lineRule="auto"/>
              <w:ind w:left="106"/>
              <w:rPr>
                <w:sz w:val="18"/>
              </w:rPr>
            </w:pPr>
            <w:r>
              <w:rPr>
                <w:sz w:val="16"/>
              </w:rPr>
              <w:t xml:space="preserve">Píst </w:t>
            </w:r>
            <w:r>
              <w:rPr>
                <w:sz w:val="16"/>
              </w:rPr>
              <w:t>se nepohybuje plynule</w:t>
            </w:r>
          </w:p>
        </w:tc>
        <w:tc>
          <w:tcPr>
            <w:tcW w:w="2379" w:type="dxa"/>
          </w:tcPr>
          <w:p>
            <w:pPr>
              <w:pStyle w:val="TableParagraph"/>
              <w:spacing w:before="77" w:line="266" w:lineRule="auto"/>
              <w:ind w:left="107" w:right="114"/>
              <w:rPr>
                <w:sz w:val="18"/>
              </w:rPr>
            </w:pPr>
            <w:r>
              <w:rPr>
                <w:sz w:val="16"/>
              </w:rPr>
              <w:t xml:space="preserve">Na vodicím šroubu injekční pumpy ulpěla </w:t>
            </w:r>
            <w:r>
              <w:rPr>
                <w:sz w:val="16"/>
              </w:rPr>
              <w:t xml:space="preserve">léčivá </w:t>
            </w:r>
            <w:r>
              <w:rPr>
                <w:sz w:val="16"/>
              </w:rPr>
              <w:t>tekutina.</w:t>
            </w:r>
          </w:p>
        </w:tc>
        <w:tc>
          <w:tcPr>
            <w:tcW w:w="2957" w:type="dxa"/>
          </w:tcPr>
          <w:p>
            <w:pPr>
              <w:pStyle w:val="TableParagraph"/>
              <w:spacing w:before="100"/>
              <w:rPr>
                <w:b/>
                <w:sz w:val="18"/>
              </w:rPr>
            </w:pPr>
          </w:p>
          <w:p>
            <w:pPr>
              <w:pStyle w:val="TableParagraph"/>
              <w:spacing w:before="1"/>
              <w:ind w:left="106"/>
              <w:rPr>
                <w:sz w:val="18"/>
              </w:rPr>
            </w:pPr>
            <w:r>
              <w:rPr>
                <w:sz w:val="16"/>
              </w:rPr>
              <w:t>Vyčist</w:t>
            </w:r>
            <w:r>
              <w:rPr>
                <w:sz w:val="16"/>
              </w:rPr>
              <w:t xml:space="preserve">ěte </w:t>
            </w:r>
            <w:r>
              <w:rPr>
                <w:sz w:val="16"/>
              </w:rPr>
              <w:t xml:space="preserve">jej </w:t>
            </w:r>
            <w:r>
              <w:rPr>
                <w:sz w:val="16"/>
              </w:rPr>
              <w:t xml:space="preserve">vlhkým, </w:t>
            </w:r>
            <w:r>
              <w:rPr>
                <w:sz w:val="16"/>
              </w:rPr>
              <w:t xml:space="preserve">čistým </w:t>
            </w:r>
            <w:r>
              <w:rPr>
                <w:spacing w:val="-2"/>
                <w:sz w:val="16"/>
              </w:rPr>
              <w:t>hadříkem.</w:t>
            </w:r>
          </w:p>
        </w:tc>
      </w:tr>
    </w:tbl>
    <w:p>
      <w:pPr>
        <w:pStyle w:val="BodyText"/>
        <w:spacing w:before="193" w:line="278" w:lineRule="auto"/>
        <w:ind w:right="353"/>
      </w:pPr>
      <w:r>
        <w:rPr>
          <w:sz w:val="16"/>
        </w:rPr>
        <w:t xml:space="preserve">V případě </w:t>
      </w:r>
      <w:r>
        <w:rPr>
          <w:sz w:val="16"/>
        </w:rPr>
        <w:t xml:space="preserve">jiných </w:t>
      </w:r>
      <w:r>
        <w:rPr>
          <w:sz w:val="16"/>
        </w:rPr>
        <w:t xml:space="preserve">poruch, </w:t>
      </w:r>
      <w:r>
        <w:rPr>
          <w:sz w:val="16"/>
        </w:rPr>
        <w:t xml:space="preserve">které přesahují </w:t>
      </w:r>
      <w:r>
        <w:rPr>
          <w:sz w:val="16"/>
        </w:rPr>
        <w:t xml:space="preserve">běžné </w:t>
      </w:r>
      <w:r>
        <w:rPr>
          <w:sz w:val="16"/>
        </w:rPr>
        <w:t xml:space="preserve">alarmy uvedené v </w:t>
      </w:r>
      <w:r>
        <w:rPr>
          <w:sz w:val="16"/>
        </w:rPr>
        <w:t>oddíle</w:t>
      </w:r>
      <w:r>
        <w:rPr>
          <w:sz w:val="16"/>
        </w:rPr>
        <w:t xml:space="preserve"> 8.2 </w:t>
      </w:r>
      <w:r>
        <w:rPr>
          <w:sz w:val="16"/>
        </w:rPr>
        <w:t xml:space="preserve">a </w:t>
      </w:r>
      <w:r>
        <w:rPr>
          <w:sz w:val="16"/>
        </w:rPr>
        <w:t>výše uvedené</w:t>
      </w:r>
      <w:r>
        <w:rPr>
          <w:sz w:val="16"/>
        </w:rPr>
        <w:t xml:space="preserve"> </w:t>
      </w:r>
      <w:r>
        <w:rPr>
          <w:sz w:val="16"/>
        </w:rPr>
        <w:t xml:space="preserve">poruchy, </w:t>
      </w:r>
      <w:r>
        <w:rPr>
          <w:sz w:val="16"/>
        </w:rPr>
        <w:t>se obraťte na dodavatele nebo naši továrnu.</w:t>
      </w:r>
    </w:p>
    <w:p>
      <w:pPr>
        <w:pStyle w:val="BodyText"/>
        <w:spacing w:before="0"/>
        <w:ind w:left="0"/>
      </w:pPr>
    </w:p>
    <w:p>
      <w:pPr>
        <w:pStyle w:val="BodyText"/>
        <w:spacing w:before="31"/>
        <w:ind w:left="0"/>
      </w:pPr>
    </w:p>
    <w:p>
      <w:pPr>
        <w:pStyle w:val="Heading1"/>
        <w:numPr>
          <w:ilvl w:val="0"/>
          <w:numId w:val="1"/>
        </w:numPr>
        <w:tabs>
          <w:tab w:val="left" w:pos="543"/>
        </w:tabs>
        <w:spacing w:before="0" w:after="0" w:line="240" w:lineRule="auto"/>
        <w:ind w:left="543" w:right="0" w:hanging="248"/>
        <w:jc w:val="left"/>
      </w:pPr>
      <w:bookmarkStart w:id="68" w:name="10.Safety Protection Devices and Acciden"/>
      <w:bookmarkEnd w:id="68"/>
      <w:bookmarkStart w:id="69" w:name="_bookmark34"/>
      <w:bookmarkEnd w:id="69"/>
      <w:r>
        <w:rPr>
          <w:sz w:val="18"/>
        </w:rPr>
        <w:t xml:space="preserve">Bezpečnostní </w:t>
      </w:r>
      <w:r>
        <w:rPr>
          <w:sz w:val="18"/>
        </w:rPr>
        <w:t xml:space="preserve">ochranná </w:t>
      </w:r>
      <w:r>
        <w:rPr>
          <w:sz w:val="18"/>
        </w:rPr>
        <w:t xml:space="preserve">zařízení </w:t>
      </w:r>
      <w:r>
        <w:rPr>
          <w:sz w:val="18"/>
        </w:rPr>
        <w:t xml:space="preserve">a </w:t>
      </w:r>
      <w:r>
        <w:rPr>
          <w:spacing w:val="-2"/>
          <w:sz w:val="18"/>
        </w:rPr>
        <w:t xml:space="preserve">postup </w:t>
      </w:r>
      <w:r>
        <w:rPr>
          <w:sz w:val="18"/>
        </w:rPr>
        <w:t>při nehodách</w:t>
      </w:r>
    </w:p>
    <w:p>
      <w:pPr>
        <w:pStyle w:val="Heading1"/>
        <w:numPr>
          <w:ilvl w:val="1"/>
          <w:numId w:val="1"/>
        </w:numPr>
        <w:tabs>
          <w:tab w:val="left" w:pos="694"/>
        </w:tabs>
        <w:spacing w:before="60" w:after="0" w:line="240" w:lineRule="auto"/>
        <w:ind w:left="694" w:right="0" w:hanging="399"/>
        <w:jc w:val="left"/>
      </w:pPr>
      <w:bookmarkStart w:id="70" w:name="10.1 Safety Protection Devices and Preca"/>
      <w:bookmarkEnd w:id="70"/>
      <w:bookmarkStart w:id="71" w:name="_bookmark35"/>
      <w:bookmarkEnd w:id="71"/>
      <w:r>
        <w:rPr>
          <w:sz w:val="18"/>
        </w:rPr>
        <w:t xml:space="preserve">Bezpečnostní </w:t>
      </w:r>
      <w:r>
        <w:rPr>
          <w:sz w:val="18"/>
        </w:rPr>
        <w:t xml:space="preserve">ochranná </w:t>
      </w:r>
      <w:r>
        <w:rPr>
          <w:sz w:val="18"/>
        </w:rPr>
        <w:t xml:space="preserve">zařízení </w:t>
      </w:r>
      <w:r>
        <w:rPr>
          <w:sz w:val="18"/>
        </w:rPr>
        <w:t xml:space="preserve">a </w:t>
      </w:r>
      <w:r>
        <w:rPr>
          <w:spacing w:val="-2"/>
          <w:sz w:val="18"/>
        </w:rPr>
        <w:t>bezpečnostní opatření</w:t>
      </w:r>
    </w:p>
    <w:p>
      <w:pPr>
        <w:pStyle w:val="ListParagraph"/>
        <w:numPr>
          <w:ilvl w:val="0"/>
          <w:numId w:val="14"/>
        </w:numPr>
        <w:tabs>
          <w:tab w:val="left" w:pos="465"/>
        </w:tabs>
        <w:spacing w:before="180" w:after="0" w:line="278" w:lineRule="auto"/>
        <w:ind w:left="295" w:right="637" w:firstLine="0"/>
        <w:jc w:val="left"/>
        <w:rPr>
          <w:sz w:val="18"/>
        </w:rPr>
      </w:pPr>
      <w:r>
        <w:rPr>
          <w:sz w:val="16"/>
        </w:rPr>
        <w:t xml:space="preserve">Střídavý </w:t>
      </w:r>
      <w:r>
        <w:rPr>
          <w:sz w:val="16"/>
        </w:rPr>
        <w:t xml:space="preserve">proud: </w:t>
      </w:r>
      <w:r>
        <w:rPr>
          <w:sz w:val="16"/>
        </w:rPr>
        <w:t xml:space="preserve">Zařízení je </w:t>
      </w:r>
      <w:r>
        <w:rPr>
          <w:sz w:val="16"/>
        </w:rPr>
        <w:t xml:space="preserve">vybaveno </w:t>
      </w:r>
      <w:r>
        <w:rPr>
          <w:sz w:val="16"/>
        </w:rPr>
        <w:t xml:space="preserve">dvojitými </w:t>
      </w:r>
      <w:r>
        <w:rPr>
          <w:sz w:val="16"/>
        </w:rPr>
        <w:t xml:space="preserve">záložními </w:t>
      </w:r>
      <w:r>
        <w:rPr>
          <w:sz w:val="16"/>
        </w:rPr>
        <w:t xml:space="preserve">pojistkami, </w:t>
      </w:r>
      <w:r>
        <w:rPr>
          <w:sz w:val="16"/>
        </w:rPr>
        <w:t xml:space="preserve">které </w:t>
      </w:r>
      <w:r>
        <w:rPr>
          <w:sz w:val="16"/>
        </w:rPr>
        <w:t xml:space="preserve">v </w:t>
      </w:r>
      <w:r>
        <w:rPr>
          <w:sz w:val="16"/>
        </w:rPr>
        <w:t xml:space="preserve">případě </w:t>
      </w:r>
      <w:r>
        <w:rPr>
          <w:sz w:val="16"/>
        </w:rPr>
        <w:t xml:space="preserve">zkratu nebo jiných poruch v navazujícím obvodu </w:t>
      </w:r>
      <w:r>
        <w:rPr>
          <w:sz w:val="16"/>
        </w:rPr>
        <w:t xml:space="preserve">přeruší </w:t>
      </w:r>
      <w:r>
        <w:rPr>
          <w:sz w:val="16"/>
        </w:rPr>
        <w:t>obvod</w:t>
      </w:r>
      <w:r>
        <w:rPr>
          <w:sz w:val="16"/>
        </w:rPr>
        <w:t>.</w:t>
      </w:r>
    </w:p>
    <w:p>
      <w:pPr>
        <w:pStyle w:val="ListParagraph"/>
        <w:numPr>
          <w:ilvl w:val="0"/>
          <w:numId w:val="14"/>
        </w:numPr>
        <w:tabs>
          <w:tab w:val="left" w:pos="474"/>
        </w:tabs>
        <w:spacing w:before="156" w:after="0" w:line="278" w:lineRule="auto"/>
        <w:ind w:left="295" w:right="463" w:firstLine="0"/>
        <w:jc w:val="left"/>
        <w:rPr>
          <w:sz w:val="18"/>
        </w:rPr>
      </w:pPr>
      <w:r>
        <w:rPr>
          <w:sz w:val="16"/>
        </w:rPr>
        <w:t xml:space="preserve">Vstup </w:t>
      </w:r>
      <w:r>
        <w:rPr>
          <w:sz w:val="16"/>
        </w:rPr>
        <w:t>stejnosměrného proudu</w:t>
      </w:r>
      <w:r>
        <w:rPr>
          <w:sz w:val="16"/>
        </w:rPr>
        <w:t xml:space="preserve">: </w:t>
      </w:r>
      <w:r>
        <w:rPr>
          <w:sz w:val="16"/>
        </w:rPr>
        <w:t xml:space="preserve">Je vybaven </w:t>
      </w:r>
      <w:r>
        <w:rPr>
          <w:sz w:val="16"/>
        </w:rPr>
        <w:t xml:space="preserve">pojistkou, která </w:t>
      </w:r>
      <w:r>
        <w:rPr>
          <w:sz w:val="16"/>
        </w:rPr>
        <w:t xml:space="preserve">v </w:t>
      </w:r>
      <w:r>
        <w:rPr>
          <w:sz w:val="16"/>
        </w:rPr>
        <w:t xml:space="preserve">případě </w:t>
      </w:r>
      <w:r>
        <w:rPr>
          <w:sz w:val="16"/>
        </w:rPr>
        <w:t xml:space="preserve">zkratu </w:t>
      </w:r>
      <w:r>
        <w:rPr>
          <w:sz w:val="16"/>
        </w:rPr>
        <w:t xml:space="preserve">nebo </w:t>
      </w:r>
      <w:r>
        <w:rPr>
          <w:sz w:val="16"/>
        </w:rPr>
        <w:t xml:space="preserve">jiných poruch v navazujícím obvodu </w:t>
      </w:r>
      <w:r>
        <w:rPr>
          <w:sz w:val="16"/>
        </w:rPr>
        <w:t xml:space="preserve">přeruší </w:t>
      </w:r>
      <w:r>
        <w:rPr>
          <w:sz w:val="16"/>
        </w:rPr>
        <w:t>obvod</w:t>
      </w:r>
      <w:r>
        <w:rPr>
          <w:sz w:val="16"/>
        </w:rPr>
        <w:t>.</w:t>
      </w:r>
    </w:p>
    <w:p>
      <w:pPr>
        <w:pStyle w:val="ListParagraph"/>
        <w:numPr>
          <w:ilvl w:val="0"/>
          <w:numId w:val="14"/>
        </w:numPr>
        <w:tabs>
          <w:tab w:val="left" w:pos="474"/>
        </w:tabs>
        <w:spacing w:before="156" w:after="0" w:line="278" w:lineRule="auto"/>
        <w:ind w:left="295" w:right="622" w:firstLine="0"/>
        <w:jc w:val="left"/>
        <w:rPr>
          <w:sz w:val="18"/>
        </w:rPr>
      </w:pPr>
      <w:r>
        <w:rPr>
          <w:sz w:val="16"/>
        </w:rPr>
        <w:t xml:space="preserve">Ochrana </w:t>
      </w:r>
      <w:r>
        <w:rPr>
          <w:sz w:val="16"/>
        </w:rPr>
        <w:t>baterie</w:t>
      </w:r>
      <w:r>
        <w:rPr>
          <w:sz w:val="16"/>
        </w:rPr>
        <w:t xml:space="preserve">: </w:t>
      </w:r>
      <w:r>
        <w:rPr>
          <w:sz w:val="16"/>
        </w:rPr>
        <w:t xml:space="preserve">Baterie </w:t>
      </w:r>
      <w:r>
        <w:rPr>
          <w:sz w:val="16"/>
        </w:rPr>
        <w:t xml:space="preserve">je </w:t>
      </w:r>
      <w:r>
        <w:rPr>
          <w:sz w:val="16"/>
        </w:rPr>
        <w:t xml:space="preserve">vnitřně </w:t>
      </w:r>
      <w:r>
        <w:rPr>
          <w:sz w:val="16"/>
        </w:rPr>
        <w:t xml:space="preserve">vybavena </w:t>
      </w:r>
      <w:r>
        <w:rPr>
          <w:sz w:val="16"/>
        </w:rPr>
        <w:t>zařízeními</w:t>
      </w:r>
      <w:r>
        <w:rPr>
          <w:sz w:val="16"/>
        </w:rPr>
        <w:t xml:space="preserve"> </w:t>
      </w:r>
      <w:r>
        <w:rPr>
          <w:sz w:val="16"/>
        </w:rPr>
        <w:t>na ochranu proti</w:t>
      </w:r>
      <w:r>
        <w:rPr>
          <w:sz w:val="16"/>
        </w:rPr>
        <w:t xml:space="preserve"> přepětí, </w:t>
      </w:r>
      <w:r>
        <w:rPr>
          <w:sz w:val="16"/>
        </w:rPr>
        <w:t xml:space="preserve">přehřátí </w:t>
      </w:r>
      <w:r>
        <w:rPr>
          <w:sz w:val="16"/>
        </w:rPr>
        <w:t xml:space="preserve">a </w:t>
      </w:r>
      <w:r>
        <w:rPr>
          <w:sz w:val="16"/>
        </w:rPr>
        <w:t>zkratu</w:t>
      </w:r>
      <w:r>
        <w:rPr>
          <w:sz w:val="16"/>
        </w:rPr>
        <w:t xml:space="preserve">, </w:t>
      </w:r>
      <w:r>
        <w:rPr>
          <w:sz w:val="16"/>
        </w:rPr>
        <w:t xml:space="preserve">aby </w:t>
      </w:r>
      <w:r>
        <w:rPr>
          <w:sz w:val="16"/>
        </w:rPr>
        <w:t xml:space="preserve">se zabránilo nebezpečím, </w:t>
      </w:r>
      <w:r>
        <w:rPr>
          <w:sz w:val="16"/>
        </w:rPr>
        <w:t xml:space="preserve">jako je </w:t>
      </w:r>
      <w:r>
        <w:rPr>
          <w:sz w:val="16"/>
        </w:rPr>
        <w:t xml:space="preserve">přehřátí </w:t>
      </w:r>
      <w:r>
        <w:rPr>
          <w:sz w:val="16"/>
        </w:rPr>
        <w:t xml:space="preserve">nebo </w:t>
      </w:r>
      <w:r>
        <w:rPr>
          <w:spacing w:val="-2"/>
          <w:sz w:val="16"/>
        </w:rPr>
        <w:t xml:space="preserve">vznícení </w:t>
      </w:r>
      <w:r>
        <w:rPr>
          <w:sz w:val="16"/>
        </w:rPr>
        <w:t>baterie</w:t>
      </w:r>
      <w:r>
        <w:rPr>
          <w:spacing w:val="-2"/>
          <w:sz w:val="16"/>
        </w:rPr>
        <w:t>.</w:t>
      </w:r>
    </w:p>
    <w:p>
      <w:pPr>
        <w:pStyle w:val="ListParagraph"/>
        <w:numPr>
          <w:ilvl w:val="0"/>
          <w:numId w:val="14"/>
        </w:numPr>
        <w:tabs>
          <w:tab w:val="left" w:pos="474"/>
        </w:tabs>
        <w:spacing w:before="156" w:after="0" w:line="240" w:lineRule="auto"/>
        <w:ind w:left="474" w:right="0" w:hanging="179"/>
        <w:jc w:val="left"/>
        <w:rPr>
          <w:sz w:val="18"/>
        </w:rPr>
      </w:pPr>
      <w:r>
        <w:rPr>
          <w:sz w:val="16"/>
        </w:rPr>
        <w:t xml:space="preserve">Vnější </w:t>
      </w:r>
      <w:r>
        <w:rPr>
          <w:sz w:val="16"/>
        </w:rPr>
        <w:t xml:space="preserve">izolace: </w:t>
      </w:r>
      <w:r>
        <w:rPr>
          <w:spacing w:val="-2"/>
          <w:sz w:val="16"/>
        </w:rPr>
        <w:t xml:space="preserve">Podrobnosti </w:t>
      </w:r>
      <w:r>
        <w:rPr>
          <w:sz w:val="16"/>
        </w:rPr>
        <w:t xml:space="preserve">o </w:t>
      </w:r>
      <w:r>
        <w:rPr>
          <w:sz w:val="16"/>
        </w:rPr>
        <w:t xml:space="preserve">izolaci </w:t>
      </w:r>
      <w:r>
        <w:rPr>
          <w:sz w:val="16"/>
        </w:rPr>
        <w:t xml:space="preserve">najdete </w:t>
      </w:r>
      <w:r>
        <w:rPr>
          <w:sz w:val="16"/>
        </w:rPr>
        <w:t xml:space="preserve">v </w:t>
      </w:r>
      <w:r>
        <w:rPr>
          <w:sz w:val="16"/>
        </w:rPr>
        <w:t xml:space="preserve">technických </w:t>
      </w:r>
      <w:r>
        <w:rPr>
          <w:sz w:val="16"/>
        </w:rPr>
        <w:t xml:space="preserve">požadavcích na </w:t>
      </w:r>
      <w:r>
        <w:rPr>
          <w:sz w:val="16"/>
        </w:rPr>
        <w:t xml:space="preserve">obrázku </w:t>
      </w:r>
      <w:r>
        <w:rPr>
          <w:sz w:val="16"/>
        </w:rPr>
        <w:t>A.1</w:t>
      </w:r>
      <w:r>
        <w:rPr>
          <w:spacing w:val="-2"/>
          <w:sz w:val="16"/>
        </w:rPr>
        <w:t>.</w:t>
      </w:r>
    </w:p>
    <w:p>
      <w:pPr>
        <w:pStyle w:val="BodyText"/>
        <w:spacing w:before="114"/>
        <w:ind w:left="0"/>
      </w:pPr>
    </w:p>
    <w:p>
      <w:pPr>
        <w:pStyle w:val="Heading1"/>
        <w:numPr>
          <w:ilvl w:val="1"/>
          <w:numId w:val="1"/>
        </w:numPr>
        <w:tabs>
          <w:tab w:val="left" w:pos="694"/>
        </w:tabs>
        <w:spacing w:before="0" w:after="0" w:line="240" w:lineRule="auto"/>
        <w:ind w:left="694" w:right="0" w:hanging="399"/>
        <w:jc w:val="left"/>
      </w:pPr>
      <w:bookmarkStart w:id="72" w:name="10.2 Procedures and Methods for Handling"/>
      <w:bookmarkEnd w:id="72"/>
      <w:bookmarkStart w:id="73" w:name="_bookmark36"/>
      <w:bookmarkEnd w:id="73"/>
      <w:r>
        <w:rPr>
          <w:sz w:val="18"/>
        </w:rPr>
        <w:t xml:space="preserve">Postupy </w:t>
      </w:r>
      <w:r>
        <w:rPr>
          <w:sz w:val="18"/>
        </w:rPr>
        <w:t xml:space="preserve">a </w:t>
      </w:r>
      <w:r>
        <w:rPr>
          <w:sz w:val="18"/>
        </w:rPr>
        <w:t xml:space="preserve">metody </w:t>
      </w:r>
      <w:r>
        <w:rPr>
          <w:sz w:val="18"/>
        </w:rPr>
        <w:t xml:space="preserve">řešení </w:t>
      </w:r>
      <w:r>
        <w:rPr>
          <w:spacing w:val="-2"/>
          <w:sz w:val="18"/>
        </w:rPr>
        <w:t>poruch</w:t>
      </w:r>
    </w:p>
    <w:p>
      <w:pPr>
        <w:pStyle w:val="ListParagraph"/>
        <w:numPr>
          <w:ilvl w:val="0"/>
          <w:numId w:val="13"/>
        </w:numPr>
        <w:tabs>
          <w:tab w:val="left" w:pos="474"/>
        </w:tabs>
        <w:spacing w:before="180" w:after="0" w:line="278" w:lineRule="auto"/>
        <w:ind w:left="295" w:right="724" w:firstLine="0"/>
        <w:jc w:val="both"/>
        <w:rPr>
          <w:sz w:val="18"/>
        </w:rPr>
      </w:pPr>
      <w:r>
        <w:rPr>
          <w:sz w:val="16"/>
        </w:rPr>
        <w:t xml:space="preserve">Pokud </w:t>
      </w:r>
      <w:r>
        <w:rPr>
          <w:sz w:val="16"/>
        </w:rPr>
        <w:t xml:space="preserve">injekční </w:t>
      </w:r>
      <w:r>
        <w:rPr>
          <w:sz w:val="16"/>
        </w:rPr>
        <w:t xml:space="preserve">pumpa </w:t>
      </w:r>
      <w:r>
        <w:rPr>
          <w:sz w:val="16"/>
        </w:rPr>
        <w:t xml:space="preserve">signalizuje </w:t>
      </w:r>
      <w:r>
        <w:rPr>
          <w:sz w:val="16"/>
        </w:rPr>
        <w:t xml:space="preserve">poruchu systému, </w:t>
      </w:r>
      <w:r>
        <w:rPr>
          <w:sz w:val="16"/>
        </w:rPr>
        <w:t xml:space="preserve">uživatelé </w:t>
      </w:r>
      <w:r>
        <w:rPr>
          <w:sz w:val="16"/>
        </w:rPr>
        <w:t xml:space="preserve">by měli </w:t>
      </w:r>
      <w:r>
        <w:rPr>
          <w:sz w:val="16"/>
        </w:rPr>
        <w:t xml:space="preserve">přestat </w:t>
      </w:r>
      <w:r>
        <w:rPr>
          <w:sz w:val="16"/>
        </w:rPr>
        <w:t xml:space="preserve">ji </w:t>
      </w:r>
      <w:r>
        <w:rPr>
          <w:sz w:val="16"/>
        </w:rPr>
        <w:t xml:space="preserve">používat </w:t>
      </w:r>
      <w:r>
        <w:rPr>
          <w:sz w:val="16"/>
        </w:rPr>
        <w:t xml:space="preserve">a </w:t>
      </w:r>
      <w:r>
        <w:rPr>
          <w:sz w:val="16"/>
        </w:rPr>
        <w:t xml:space="preserve">kontaktovat </w:t>
      </w:r>
      <w:r>
        <w:rPr>
          <w:sz w:val="16"/>
        </w:rPr>
        <w:t xml:space="preserve">prodejce </w:t>
      </w:r>
      <w:r>
        <w:rPr>
          <w:sz w:val="16"/>
        </w:rPr>
        <w:t xml:space="preserve">za účelem </w:t>
      </w:r>
      <w:r>
        <w:rPr>
          <w:sz w:val="16"/>
        </w:rPr>
        <w:t xml:space="preserve">opravy </w:t>
      </w:r>
      <w:r>
        <w:rPr>
          <w:sz w:val="16"/>
        </w:rPr>
        <w:t xml:space="preserve">a </w:t>
      </w:r>
      <w:r>
        <w:rPr>
          <w:sz w:val="16"/>
        </w:rPr>
        <w:t xml:space="preserve">kontroly. </w:t>
      </w:r>
      <w:r>
        <w:rPr>
          <w:sz w:val="16"/>
        </w:rPr>
        <w:t xml:space="preserve">Pumpa </w:t>
      </w:r>
      <w:r>
        <w:rPr>
          <w:sz w:val="16"/>
        </w:rPr>
        <w:t xml:space="preserve">by měla </w:t>
      </w:r>
      <w:r>
        <w:rPr>
          <w:sz w:val="16"/>
        </w:rPr>
        <w:t xml:space="preserve">být </w:t>
      </w:r>
      <w:r>
        <w:rPr>
          <w:sz w:val="16"/>
        </w:rPr>
        <w:t xml:space="preserve">znovu </w:t>
      </w:r>
      <w:r>
        <w:rPr>
          <w:sz w:val="16"/>
        </w:rPr>
        <w:t xml:space="preserve">použita </w:t>
      </w:r>
      <w:r>
        <w:rPr>
          <w:sz w:val="16"/>
        </w:rPr>
        <w:t xml:space="preserve">až po </w:t>
      </w:r>
      <w:r>
        <w:rPr>
          <w:sz w:val="16"/>
        </w:rPr>
        <w:t>potvrzení</w:t>
      </w:r>
      <w:r>
        <w:rPr>
          <w:sz w:val="16"/>
        </w:rPr>
        <w:t>, že</w:t>
      </w:r>
      <w:r>
        <w:rPr>
          <w:sz w:val="16"/>
        </w:rPr>
        <w:t xml:space="preserve"> </w:t>
      </w:r>
      <w:r>
        <w:rPr>
          <w:sz w:val="16"/>
        </w:rPr>
        <w:t xml:space="preserve">je </w:t>
      </w:r>
      <w:r>
        <w:rPr>
          <w:spacing w:val="-2"/>
          <w:sz w:val="16"/>
        </w:rPr>
        <w:t>v souladu s požadavky.</w:t>
      </w:r>
    </w:p>
    <w:p>
      <w:pPr>
        <w:pStyle w:val="ListParagraph"/>
        <w:numPr>
          <w:ilvl w:val="0"/>
          <w:numId w:val="13"/>
        </w:numPr>
        <w:tabs>
          <w:tab w:val="left" w:pos="474"/>
        </w:tabs>
        <w:spacing w:before="156" w:after="0" w:line="278" w:lineRule="auto"/>
        <w:ind w:left="295" w:right="808" w:firstLine="0"/>
        <w:jc w:val="left"/>
        <w:rPr>
          <w:sz w:val="18"/>
        </w:rPr>
      </w:pPr>
      <w:r>
        <w:rPr>
          <w:sz w:val="16"/>
        </w:rPr>
        <w:t xml:space="preserve">V případě nevysvětlitelného požáru nebo vznícení injekční pumpy nebo jiných abnormálních situací </w:t>
      </w:r>
      <w:r>
        <w:rPr>
          <w:sz w:val="16"/>
        </w:rPr>
        <w:t xml:space="preserve">by </w:t>
      </w:r>
      <w:r>
        <w:rPr>
          <w:sz w:val="16"/>
        </w:rPr>
        <w:t xml:space="preserve">uživatelé </w:t>
      </w:r>
      <w:r>
        <w:rPr>
          <w:sz w:val="16"/>
        </w:rPr>
        <w:t xml:space="preserve">měli </w:t>
      </w:r>
      <w:r>
        <w:rPr>
          <w:sz w:val="16"/>
        </w:rPr>
        <w:t xml:space="preserve">okamžitě </w:t>
      </w:r>
      <w:r>
        <w:rPr>
          <w:sz w:val="16"/>
        </w:rPr>
        <w:t xml:space="preserve">odpojit </w:t>
      </w:r>
      <w:r>
        <w:rPr>
          <w:sz w:val="16"/>
        </w:rPr>
        <w:t xml:space="preserve">napájení </w:t>
      </w:r>
      <w:r>
        <w:rPr>
          <w:sz w:val="16"/>
        </w:rPr>
        <w:t xml:space="preserve">a </w:t>
      </w:r>
      <w:r>
        <w:rPr>
          <w:sz w:val="16"/>
        </w:rPr>
        <w:t xml:space="preserve">kontaktovat </w:t>
      </w:r>
      <w:r>
        <w:rPr>
          <w:sz w:val="16"/>
        </w:rPr>
        <w:t>zákaznický servis výrobce.</w:t>
      </w:r>
    </w:p>
    <w:p>
      <w:pPr>
        <w:pStyle w:val="ListParagraph"/>
        <w:numPr>
          <w:ilvl w:val="0"/>
          <w:numId w:val="13"/>
        </w:numPr>
        <w:tabs>
          <w:tab w:val="left" w:pos="520"/>
        </w:tabs>
        <w:spacing w:before="155" w:after="0" w:line="278" w:lineRule="auto"/>
        <w:ind w:left="295" w:right="293" w:firstLine="0"/>
        <w:jc w:val="both"/>
        <w:rPr>
          <w:sz w:val="18"/>
        </w:rPr>
      </w:pPr>
      <w:r>
        <w:rPr>
          <w:sz w:val="16"/>
        </w:rPr>
        <w:t xml:space="preserve">Pokud během používání dojde k poruše tlačítek injekční pumpy nebo k jiné poruše, uživatelé by měli </w:t>
      </w:r>
      <w:r>
        <w:rPr>
          <w:sz w:val="16"/>
        </w:rPr>
        <w:t xml:space="preserve">přestat pumpu používat a kontaktovat prodejce za účelem opravy a kontroly. Pumpa by měla být znovu použita až po potvrzení, že je v souladu s požadavky. Pumpa by měla být znovu použita až po potvrzení, že je </w:t>
      </w:r>
      <w:r>
        <w:rPr>
          <w:spacing w:val="-2"/>
          <w:sz w:val="16"/>
        </w:rPr>
        <w:t>v souladu s požadavky.</w:t>
      </w:r>
    </w:p>
    <w:p>
      <w:pPr>
        <w:pStyle w:val="ListParagraph"/>
        <w:spacing w:after="0" w:line="278" w:lineRule="auto"/>
        <w:jc w:val="both"/>
        <w:rPr>
          <w:sz w:val="18"/>
        </w:rPr>
        <w:sectPr>
          <w:type w:val="continuous"/>
          <w:pgSz w:w="8390" w:h="11910"/>
          <w:pgMar w:top="700" w:right="425" w:bottom="540" w:left="425" w:header="0" w:footer="342"/>
          <w:cols w:space="708"/>
        </w:sectPr>
      </w:pPr>
    </w:p>
    <w:p>
      <w:pPr>
        <w:pStyle w:val="Heading1"/>
        <w:numPr>
          <w:ilvl w:val="0"/>
          <w:numId w:val="1"/>
        </w:numPr>
        <w:tabs>
          <w:tab w:val="left" w:pos="543"/>
        </w:tabs>
        <w:spacing w:before="72" w:after="0" w:line="240" w:lineRule="auto"/>
        <w:ind w:left="543" w:right="0" w:hanging="248"/>
        <w:jc w:val="left"/>
      </w:pPr>
      <w:bookmarkStart w:id="74" w:name="11.Maintenance, Inspection, Repairs, and"/>
      <w:bookmarkEnd w:id="74"/>
      <w:bookmarkStart w:id="75" w:name="_bookmark37"/>
      <w:bookmarkEnd w:id="75"/>
      <w:r>
        <w:rPr>
          <w:sz w:val="18"/>
        </w:rPr>
        <w:t xml:space="preserve">Údržba, </w:t>
      </w:r>
      <w:r>
        <w:rPr>
          <w:sz w:val="18"/>
        </w:rPr>
        <w:t xml:space="preserve">kontrola, </w:t>
      </w:r>
      <w:r>
        <w:rPr>
          <w:sz w:val="18"/>
        </w:rPr>
        <w:t xml:space="preserve">opravy </w:t>
      </w:r>
      <w:r>
        <w:rPr>
          <w:sz w:val="18"/>
        </w:rPr>
        <w:t xml:space="preserve">a </w:t>
      </w:r>
      <w:r>
        <w:rPr>
          <w:spacing w:val="-2"/>
          <w:sz w:val="18"/>
        </w:rPr>
        <w:t>recyklace</w:t>
      </w:r>
    </w:p>
    <w:p>
      <w:pPr>
        <w:pStyle w:val="BodyText"/>
        <w:spacing w:before="180"/>
      </w:pPr>
      <w:r>
        <w:rPr>
          <w:sz w:val="16"/>
        </w:rPr>
        <w:t xml:space="preserve">Před </w:t>
      </w:r>
      <w:r>
        <w:rPr>
          <w:sz w:val="16"/>
        </w:rPr>
        <w:t xml:space="preserve">čištěním se ujistěte, </w:t>
      </w:r>
      <w:r>
        <w:rPr>
          <w:sz w:val="16"/>
        </w:rPr>
        <w:t xml:space="preserve">že </w:t>
      </w:r>
      <w:r>
        <w:rPr>
          <w:sz w:val="16"/>
        </w:rPr>
        <w:t xml:space="preserve">jste </w:t>
      </w:r>
      <w:r>
        <w:rPr>
          <w:sz w:val="16"/>
        </w:rPr>
        <w:t xml:space="preserve">vypnuli </w:t>
      </w:r>
      <w:r>
        <w:rPr>
          <w:sz w:val="16"/>
        </w:rPr>
        <w:t xml:space="preserve">napájení </w:t>
      </w:r>
      <w:r>
        <w:rPr>
          <w:sz w:val="16"/>
        </w:rPr>
        <w:t xml:space="preserve">a </w:t>
      </w:r>
      <w:r>
        <w:rPr>
          <w:sz w:val="16"/>
        </w:rPr>
        <w:t xml:space="preserve">odpojili </w:t>
      </w:r>
      <w:r>
        <w:rPr>
          <w:sz w:val="16"/>
        </w:rPr>
        <w:t xml:space="preserve">napájecí </w:t>
      </w:r>
      <w:r>
        <w:rPr>
          <w:spacing w:val="-2"/>
          <w:sz w:val="16"/>
        </w:rPr>
        <w:t xml:space="preserve">kabel </w:t>
      </w:r>
      <w:r>
        <w:rPr>
          <w:sz w:val="16"/>
        </w:rPr>
        <w:t>DC/AC</w:t>
      </w:r>
      <w:r>
        <w:rPr>
          <w:spacing w:val="-2"/>
          <w:sz w:val="16"/>
        </w:rPr>
        <w:t>.</w:t>
      </w:r>
    </w:p>
    <w:p>
      <w:pPr>
        <w:pStyle w:val="BodyText"/>
        <w:spacing w:before="114"/>
        <w:ind w:left="0"/>
      </w:pPr>
    </w:p>
    <w:p>
      <w:pPr>
        <w:pStyle w:val="Heading1"/>
        <w:numPr>
          <w:ilvl w:val="1"/>
          <w:numId w:val="1"/>
        </w:numPr>
        <w:tabs>
          <w:tab w:val="left" w:pos="682"/>
        </w:tabs>
        <w:spacing w:before="0" w:after="0" w:line="240" w:lineRule="auto"/>
        <w:ind w:left="682" w:right="0" w:hanging="387"/>
        <w:jc w:val="left"/>
      </w:pPr>
      <w:bookmarkStart w:id="76" w:name="11.1 Daily Maintenance"/>
      <w:bookmarkEnd w:id="76"/>
      <w:bookmarkStart w:id="77" w:name="_bookmark38"/>
      <w:bookmarkEnd w:id="77"/>
      <w:r>
        <w:rPr>
          <w:sz w:val="18"/>
        </w:rPr>
        <w:t xml:space="preserve">Denní </w:t>
      </w:r>
      <w:r>
        <w:rPr>
          <w:spacing w:val="-2"/>
          <w:sz w:val="18"/>
        </w:rPr>
        <w:t>údržba</w:t>
      </w:r>
    </w:p>
    <w:p>
      <w:pPr>
        <w:pStyle w:val="BodyText"/>
        <w:spacing w:before="180" w:line="278" w:lineRule="auto"/>
        <w:ind w:right="291"/>
        <w:jc w:val="both"/>
      </w:pPr>
      <w:r>
        <w:rPr>
          <w:sz w:val="16"/>
        </w:rPr>
        <w:t xml:space="preserve">Denní údržba zahrnuje především čištění vnějšího pláště a těla pumpy. Otřete vlhkým, čistým a měkkým hadříkem a nechte přirozeně zaschnout. Nepoužívejte rozpouštědla, jako je </w:t>
      </w:r>
      <w:r>
        <w:rPr>
          <w:b/>
          <w:sz w:val="16"/>
        </w:rPr>
        <w:t xml:space="preserve">xylen </w:t>
      </w:r>
      <w:r>
        <w:rPr>
          <w:b/>
          <w:sz w:val="16"/>
        </w:rPr>
        <w:t xml:space="preserve">nebo aceton, </w:t>
      </w:r>
      <w:r>
        <w:rPr>
          <w:sz w:val="16"/>
        </w:rPr>
        <w:t>protože mohou korodovat injekční pumpu.</w:t>
      </w:r>
    </w:p>
    <w:p>
      <w:pPr>
        <w:pStyle w:val="BodyText"/>
        <w:spacing w:before="81"/>
        <w:ind w:left="0"/>
      </w:pPr>
    </w:p>
    <w:p>
      <w:pPr>
        <w:pStyle w:val="Heading1"/>
        <w:numPr>
          <w:ilvl w:val="1"/>
          <w:numId w:val="1"/>
        </w:numPr>
        <w:tabs>
          <w:tab w:val="left" w:pos="682"/>
        </w:tabs>
        <w:spacing w:before="0" w:after="0" w:line="240" w:lineRule="auto"/>
        <w:ind w:left="682" w:right="0" w:hanging="387"/>
        <w:jc w:val="left"/>
      </w:pPr>
      <w:bookmarkStart w:id="78" w:name="11.2 Maintenance During Operation"/>
      <w:bookmarkEnd w:id="78"/>
      <w:bookmarkStart w:id="79" w:name="_bookmark39"/>
      <w:bookmarkEnd w:id="79"/>
      <w:r>
        <w:rPr>
          <w:sz w:val="18"/>
        </w:rPr>
        <w:t xml:space="preserve">Údržba </w:t>
      </w:r>
      <w:r>
        <w:rPr>
          <w:sz w:val="18"/>
        </w:rPr>
        <w:t xml:space="preserve">během </w:t>
      </w:r>
      <w:r>
        <w:rPr>
          <w:spacing w:val="-2"/>
          <w:sz w:val="18"/>
        </w:rPr>
        <w:t>provozu</w:t>
      </w:r>
    </w:p>
    <w:p>
      <w:pPr>
        <w:pStyle w:val="BodyText"/>
        <w:spacing w:before="180" w:line="278" w:lineRule="auto"/>
        <w:ind w:right="293"/>
        <w:jc w:val="both"/>
      </w:pPr>
      <w:r>
        <w:rPr>
          <w:sz w:val="16"/>
        </w:rPr>
        <w:t>Údržba během provozu se zaměřuje na čištění tlačítka injekční pumpy a okolních oblastí. Během injekcí je nevyhnutelné, že do pumpy uniknou léky. Některé léky mohou korodovat tělo pumpy a způsobit poruchy provozu. Proto je důležité injekční pumpu po použití ihned vyčistit.</w:t>
      </w:r>
    </w:p>
    <w:p>
      <w:pPr>
        <w:pStyle w:val="BodyText"/>
        <w:spacing w:before="81"/>
        <w:ind w:left="0"/>
      </w:pPr>
    </w:p>
    <w:p>
      <w:pPr>
        <w:pStyle w:val="Heading1"/>
        <w:numPr>
          <w:ilvl w:val="1"/>
          <w:numId w:val="1"/>
        </w:numPr>
        <w:tabs>
          <w:tab w:val="left" w:pos="682"/>
        </w:tabs>
        <w:spacing w:before="0" w:after="0" w:line="240" w:lineRule="auto"/>
        <w:ind w:left="682" w:right="0" w:hanging="387"/>
        <w:jc w:val="left"/>
      </w:pPr>
      <w:bookmarkStart w:id="80" w:name="11.3 Regular Inspection"/>
      <w:bookmarkEnd w:id="80"/>
      <w:bookmarkStart w:id="81" w:name="_bookmark40"/>
      <w:bookmarkEnd w:id="81"/>
      <w:r>
        <w:rPr>
          <w:sz w:val="18"/>
        </w:rPr>
        <w:t xml:space="preserve">Pravidelná </w:t>
      </w:r>
      <w:r>
        <w:rPr>
          <w:spacing w:val="-2"/>
          <w:sz w:val="18"/>
        </w:rPr>
        <w:t>kontrola</w:t>
      </w:r>
    </w:p>
    <w:p>
      <w:pPr>
        <w:pStyle w:val="BodyText"/>
        <w:spacing w:before="178" w:line="278" w:lineRule="auto"/>
        <w:ind w:right="291"/>
        <w:jc w:val="both"/>
      </w:pPr>
      <w:r>
        <w:rPr>
          <w:sz w:val="16"/>
        </w:rPr>
        <w:t>Údržbu by měli provádět kvalifikovaní pracovníci, kteří prošli školením společnosti Shenzhen Hawk Medical Instrument Co.</w:t>
      </w:r>
    </w:p>
    <w:p>
      <w:pPr>
        <w:pStyle w:val="BodyText"/>
        <w:spacing w:before="45"/>
        <w:ind w:left="0"/>
      </w:pPr>
    </w:p>
    <w:p>
      <w:pPr>
        <w:pStyle w:val="Heading2"/>
        <w:numPr>
          <w:ilvl w:val="2"/>
          <w:numId w:val="1"/>
        </w:numPr>
        <w:tabs>
          <w:tab w:val="left" w:pos="773"/>
        </w:tabs>
        <w:spacing w:before="0" w:after="0" w:line="240" w:lineRule="auto"/>
        <w:ind w:left="773" w:right="0" w:hanging="478"/>
        <w:jc w:val="left"/>
      </w:pPr>
      <w:r>
        <w:rPr>
          <w:sz w:val="16"/>
        </w:rPr>
        <w:t xml:space="preserve">Vizuální </w:t>
      </w:r>
      <w:r>
        <w:rPr>
          <w:spacing w:val="-2"/>
          <w:sz w:val="16"/>
        </w:rPr>
        <w:t>kontrola</w:t>
      </w:r>
    </w:p>
    <w:p>
      <w:pPr>
        <w:pStyle w:val="ListParagraph"/>
        <w:numPr>
          <w:ilvl w:val="0"/>
          <w:numId w:val="12"/>
        </w:numPr>
        <w:tabs>
          <w:tab w:val="left" w:pos="545"/>
        </w:tabs>
        <w:spacing w:before="189" w:after="0" w:line="240" w:lineRule="auto"/>
        <w:ind w:left="545" w:right="0" w:hanging="250"/>
        <w:jc w:val="left"/>
        <w:rPr>
          <w:sz w:val="18"/>
        </w:rPr>
      </w:pPr>
      <w:r>
        <w:rPr>
          <w:sz w:val="16"/>
        </w:rPr>
        <w:t>Vnější povrch</w:t>
      </w:r>
      <w:r>
        <w:rPr>
          <w:sz w:val="16"/>
        </w:rPr>
        <w:t xml:space="preserve"> </w:t>
      </w:r>
      <w:r>
        <w:rPr>
          <w:sz w:val="16"/>
        </w:rPr>
        <w:t xml:space="preserve">stroje </w:t>
      </w:r>
      <w:r>
        <w:rPr>
          <w:sz w:val="16"/>
        </w:rPr>
        <w:t xml:space="preserve">je </w:t>
      </w:r>
      <w:r>
        <w:rPr>
          <w:sz w:val="16"/>
        </w:rPr>
        <w:t xml:space="preserve">neporušený, </w:t>
      </w:r>
      <w:r>
        <w:rPr>
          <w:sz w:val="16"/>
        </w:rPr>
        <w:t xml:space="preserve">čistý </w:t>
      </w:r>
      <w:r>
        <w:rPr>
          <w:sz w:val="16"/>
        </w:rPr>
        <w:t xml:space="preserve">a </w:t>
      </w:r>
      <w:r>
        <w:rPr>
          <w:sz w:val="16"/>
        </w:rPr>
        <w:t xml:space="preserve">uklizený, </w:t>
      </w:r>
      <w:r>
        <w:rPr>
          <w:sz w:val="16"/>
        </w:rPr>
        <w:t xml:space="preserve">bez </w:t>
      </w:r>
      <w:r>
        <w:rPr>
          <w:sz w:val="16"/>
        </w:rPr>
        <w:t xml:space="preserve">prasklin </w:t>
      </w:r>
      <w:r>
        <w:rPr>
          <w:sz w:val="16"/>
        </w:rPr>
        <w:t xml:space="preserve">a </w:t>
      </w:r>
      <w:r>
        <w:rPr>
          <w:spacing w:val="-2"/>
          <w:sz w:val="16"/>
        </w:rPr>
        <w:t>netěsností.</w:t>
      </w:r>
    </w:p>
    <w:p>
      <w:pPr>
        <w:pStyle w:val="ListParagraph"/>
        <w:numPr>
          <w:ilvl w:val="0"/>
          <w:numId w:val="12"/>
        </w:numPr>
        <w:tabs>
          <w:tab w:val="left" w:pos="538"/>
        </w:tabs>
        <w:spacing w:before="189" w:after="0" w:line="240" w:lineRule="auto"/>
        <w:ind w:left="538" w:right="0" w:hanging="243"/>
        <w:jc w:val="left"/>
        <w:rPr>
          <w:sz w:val="18"/>
        </w:rPr>
      </w:pPr>
      <w:r>
        <w:rPr>
          <w:sz w:val="16"/>
        </w:rPr>
        <w:t xml:space="preserve">Všechny </w:t>
      </w:r>
      <w:r>
        <w:rPr>
          <w:sz w:val="16"/>
        </w:rPr>
        <w:t xml:space="preserve">klávesy </w:t>
      </w:r>
      <w:r>
        <w:rPr>
          <w:sz w:val="16"/>
        </w:rPr>
        <w:t xml:space="preserve">jsou </w:t>
      </w:r>
      <w:r>
        <w:rPr>
          <w:sz w:val="16"/>
        </w:rPr>
        <w:t xml:space="preserve">pružné </w:t>
      </w:r>
      <w:r>
        <w:rPr>
          <w:sz w:val="16"/>
        </w:rPr>
        <w:t xml:space="preserve">a </w:t>
      </w:r>
      <w:r>
        <w:rPr>
          <w:sz w:val="16"/>
        </w:rPr>
        <w:t xml:space="preserve">funkční, </w:t>
      </w:r>
      <w:r>
        <w:rPr>
          <w:sz w:val="16"/>
        </w:rPr>
        <w:t xml:space="preserve">žádné </w:t>
      </w:r>
      <w:r>
        <w:rPr>
          <w:spacing w:val="-4"/>
          <w:sz w:val="16"/>
        </w:rPr>
        <w:t xml:space="preserve">klávesy </w:t>
      </w:r>
      <w:r>
        <w:rPr>
          <w:sz w:val="16"/>
        </w:rPr>
        <w:t xml:space="preserve">nejsou </w:t>
      </w:r>
      <w:r>
        <w:rPr>
          <w:sz w:val="16"/>
        </w:rPr>
        <w:t xml:space="preserve">nefunkční </w:t>
      </w:r>
      <w:r>
        <w:rPr>
          <w:sz w:val="16"/>
        </w:rPr>
        <w:t xml:space="preserve">nebo </w:t>
      </w:r>
      <w:r>
        <w:rPr>
          <w:sz w:val="16"/>
        </w:rPr>
        <w:t>zaseknuté</w:t>
      </w:r>
      <w:r>
        <w:rPr>
          <w:spacing w:val="-4"/>
          <w:sz w:val="16"/>
        </w:rPr>
        <w:t>.</w:t>
      </w:r>
    </w:p>
    <w:p>
      <w:pPr>
        <w:pStyle w:val="ListParagraph"/>
        <w:numPr>
          <w:ilvl w:val="0"/>
          <w:numId w:val="12"/>
        </w:numPr>
        <w:tabs>
          <w:tab w:val="left" w:pos="586"/>
        </w:tabs>
        <w:spacing w:before="189" w:after="0" w:line="278" w:lineRule="auto"/>
        <w:ind w:left="295" w:right="294" w:firstLine="0"/>
        <w:jc w:val="both"/>
        <w:rPr>
          <w:sz w:val="18"/>
        </w:rPr>
      </w:pPr>
      <w:r>
        <w:rPr>
          <w:sz w:val="16"/>
        </w:rPr>
        <w:t xml:space="preserve">Stiskněte spojku a pohybujte tlačnými rukojeťmi dopředu a dozadu, abyste se ujistili, že se šroub pohybuje </w:t>
      </w:r>
      <w:r>
        <w:rPr>
          <w:spacing w:val="-2"/>
          <w:sz w:val="16"/>
        </w:rPr>
        <w:t>pružně.</w:t>
      </w:r>
    </w:p>
    <w:p>
      <w:pPr>
        <w:pStyle w:val="ListParagraph"/>
        <w:numPr>
          <w:ilvl w:val="0"/>
          <w:numId w:val="12"/>
        </w:numPr>
        <w:tabs>
          <w:tab w:val="left" w:pos="545"/>
        </w:tabs>
        <w:spacing w:before="156" w:after="0" w:line="240" w:lineRule="auto"/>
        <w:ind w:left="545" w:right="0" w:hanging="250"/>
        <w:jc w:val="left"/>
        <w:rPr>
          <w:sz w:val="18"/>
        </w:rPr>
      </w:pPr>
      <w:r>
        <w:rPr>
          <w:sz w:val="16"/>
        </w:rPr>
        <w:t xml:space="preserve">Napájecí </w:t>
      </w:r>
      <w:r>
        <w:rPr>
          <w:sz w:val="16"/>
        </w:rPr>
        <w:t xml:space="preserve">kabel </w:t>
      </w:r>
      <w:r>
        <w:rPr>
          <w:sz w:val="16"/>
        </w:rPr>
        <w:t xml:space="preserve">by měl </w:t>
      </w:r>
      <w:r>
        <w:rPr>
          <w:sz w:val="16"/>
        </w:rPr>
        <w:t xml:space="preserve">být </w:t>
      </w:r>
      <w:r>
        <w:rPr>
          <w:sz w:val="16"/>
        </w:rPr>
        <w:t xml:space="preserve">nepoškozený, bezpečně </w:t>
      </w:r>
      <w:r>
        <w:rPr>
          <w:sz w:val="16"/>
        </w:rPr>
        <w:t xml:space="preserve">nainstalovaný </w:t>
      </w:r>
      <w:r>
        <w:rPr>
          <w:sz w:val="16"/>
        </w:rPr>
        <w:t xml:space="preserve">a </w:t>
      </w:r>
      <w:r>
        <w:rPr>
          <w:sz w:val="16"/>
        </w:rPr>
        <w:t xml:space="preserve">neměl by se </w:t>
      </w:r>
      <w:r>
        <w:rPr>
          <w:sz w:val="16"/>
        </w:rPr>
        <w:t xml:space="preserve">snadno </w:t>
      </w:r>
      <w:r>
        <w:rPr>
          <w:spacing w:val="-2"/>
          <w:sz w:val="16"/>
        </w:rPr>
        <w:t>odpojovat.</w:t>
      </w:r>
    </w:p>
    <w:p>
      <w:pPr>
        <w:pStyle w:val="BodyText"/>
        <w:spacing w:before="75"/>
        <w:ind w:left="0"/>
      </w:pPr>
    </w:p>
    <w:p>
      <w:pPr>
        <w:pStyle w:val="Heading2"/>
        <w:numPr>
          <w:ilvl w:val="2"/>
          <w:numId w:val="1"/>
        </w:numPr>
        <w:tabs>
          <w:tab w:val="left" w:pos="778"/>
        </w:tabs>
        <w:spacing w:before="0" w:after="0" w:line="240" w:lineRule="auto"/>
        <w:ind w:left="778" w:right="0" w:hanging="483"/>
        <w:jc w:val="left"/>
      </w:pPr>
      <w:r>
        <w:rPr>
          <w:sz w:val="16"/>
        </w:rPr>
        <w:t xml:space="preserve">Kontrola </w:t>
      </w:r>
      <w:r>
        <w:rPr>
          <w:sz w:val="16"/>
        </w:rPr>
        <w:t xml:space="preserve">přesnosti </w:t>
      </w:r>
      <w:r>
        <w:rPr>
          <w:sz w:val="16"/>
        </w:rPr>
        <w:t xml:space="preserve">průtoku </w:t>
      </w:r>
      <w:r>
        <w:rPr>
          <w:sz w:val="16"/>
        </w:rPr>
        <w:t xml:space="preserve">(provádějte </w:t>
      </w:r>
      <w:r>
        <w:rPr>
          <w:sz w:val="16"/>
        </w:rPr>
        <w:t>každé</w:t>
      </w:r>
      <w:r>
        <w:rPr>
          <w:sz w:val="16"/>
        </w:rPr>
        <w:t xml:space="preserve"> 2 </w:t>
      </w:r>
      <w:r>
        <w:rPr>
          <w:b w:val="0"/>
          <w:spacing w:val="-2"/>
          <w:sz w:val="16"/>
        </w:rPr>
        <w:t>roky</w:t>
      </w:r>
      <w:r>
        <w:rPr>
          <w:spacing w:val="-2"/>
          <w:sz w:val="16"/>
        </w:rPr>
        <w:t>)</w:t>
      </w:r>
    </w:p>
    <w:p>
      <w:pPr>
        <w:pStyle w:val="BodyText"/>
        <w:spacing w:before="189" w:line="278" w:lineRule="auto"/>
        <w:ind w:right="353"/>
      </w:pPr>
      <w:r>
        <w:rPr>
          <w:sz w:val="16"/>
        </w:rPr>
        <w:t xml:space="preserve">Pravidelně </w:t>
      </w:r>
      <w:r>
        <w:rPr>
          <w:sz w:val="16"/>
        </w:rPr>
        <w:t xml:space="preserve">kontrolujte </w:t>
      </w:r>
      <w:r>
        <w:rPr>
          <w:sz w:val="16"/>
        </w:rPr>
        <w:t xml:space="preserve">a </w:t>
      </w:r>
      <w:r>
        <w:rPr>
          <w:sz w:val="16"/>
        </w:rPr>
        <w:t xml:space="preserve">testujte </w:t>
      </w:r>
      <w:r>
        <w:rPr>
          <w:sz w:val="16"/>
        </w:rPr>
        <w:t xml:space="preserve">pomocí </w:t>
      </w:r>
      <w:r>
        <w:rPr>
          <w:sz w:val="16"/>
        </w:rPr>
        <w:t xml:space="preserve">metody </w:t>
      </w:r>
      <w:r>
        <w:rPr>
          <w:sz w:val="16"/>
        </w:rPr>
        <w:t xml:space="preserve">uvedené </w:t>
      </w:r>
      <w:r>
        <w:rPr>
          <w:sz w:val="16"/>
        </w:rPr>
        <w:t>v bodě</w:t>
      </w:r>
      <w:r>
        <w:rPr>
          <w:sz w:val="16"/>
        </w:rPr>
        <w:t xml:space="preserve"> 8.3.2. </w:t>
      </w:r>
      <w:r>
        <w:rPr>
          <w:sz w:val="16"/>
        </w:rPr>
        <w:t xml:space="preserve">Pro údržbu </w:t>
      </w:r>
      <w:r>
        <w:rPr>
          <w:sz w:val="16"/>
        </w:rPr>
        <w:t xml:space="preserve">se </w:t>
      </w:r>
      <w:r>
        <w:rPr>
          <w:sz w:val="16"/>
        </w:rPr>
        <w:t xml:space="preserve">doporučuje </w:t>
      </w:r>
      <w:r>
        <w:rPr>
          <w:sz w:val="16"/>
        </w:rPr>
        <w:t xml:space="preserve">kontaktovat </w:t>
      </w:r>
      <w:r>
        <w:rPr>
          <w:sz w:val="16"/>
        </w:rPr>
        <w:t>prodejce.</w:t>
      </w:r>
    </w:p>
    <w:p>
      <w:pPr>
        <w:pStyle w:val="BodyText"/>
        <w:spacing w:before="42"/>
        <w:ind w:left="0"/>
      </w:pPr>
    </w:p>
    <w:p>
      <w:pPr>
        <w:pStyle w:val="Heading2"/>
        <w:numPr>
          <w:ilvl w:val="2"/>
          <w:numId w:val="1"/>
        </w:numPr>
        <w:tabs>
          <w:tab w:val="left" w:pos="778"/>
        </w:tabs>
        <w:spacing w:before="1" w:after="0" w:line="240" w:lineRule="auto"/>
        <w:ind w:left="778" w:right="0" w:hanging="483"/>
        <w:jc w:val="left"/>
      </w:pPr>
      <w:r>
        <w:rPr>
          <w:spacing w:val="-4"/>
          <w:sz w:val="16"/>
        </w:rPr>
        <w:t xml:space="preserve">Kontrola </w:t>
      </w:r>
      <w:r>
        <w:rPr>
          <w:sz w:val="16"/>
        </w:rPr>
        <w:t xml:space="preserve">vnitřní </w:t>
      </w:r>
      <w:r>
        <w:rPr>
          <w:sz w:val="16"/>
        </w:rPr>
        <w:t>baterie</w:t>
      </w:r>
    </w:p>
    <w:p>
      <w:pPr>
        <w:pStyle w:val="BodyText"/>
        <w:spacing w:before="189"/>
      </w:pPr>
      <w:r>
        <w:rPr>
          <w:sz w:val="16"/>
        </w:rPr>
        <w:t xml:space="preserve">Výkon </w:t>
      </w:r>
      <w:r>
        <w:rPr>
          <w:sz w:val="16"/>
        </w:rPr>
        <w:t xml:space="preserve">vnitřní </w:t>
      </w:r>
      <w:r>
        <w:rPr>
          <w:sz w:val="16"/>
        </w:rPr>
        <w:t xml:space="preserve">baterie </w:t>
      </w:r>
      <w:r>
        <w:rPr>
          <w:sz w:val="16"/>
        </w:rPr>
        <w:t xml:space="preserve">se </w:t>
      </w:r>
      <w:r>
        <w:rPr>
          <w:sz w:val="16"/>
        </w:rPr>
        <w:t xml:space="preserve">časem </w:t>
      </w:r>
      <w:r>
        <w:rPr>
          <w:sz w:val="16"/>
        </w:rPr>
        <w:t>snižuje</w:t>
      </w:r>
      <w:r>
        <w:rPr>
          <w:sz w:val="16"/>
        </w:rPr>
        <w:t xml:space="preserve">, proto </w:t>
      </w:r>
      <w:r>
        <w:rPr>
          <w:sz w:val="16"/>
        </w:rPr>
        <w:t xml:space="preserve">by měla </w:t>
      </w:r>
      <w:r>
        <w:rPr>
          <w:sz w:val="16"/>
        </w:rPr>
        <w:t xml:space="preserve">být </w:t>
      </w:r>
      <w:r>
        <w:rPr>
          <w:sz w:val="16"/>
        </w:rPr>
        <w:t xml:space="preserve">kontrolována </w:t>
      </w:r>
      <w:r>
        <w:rPr>
          <w:spacing w:val="-2"/>
          <w:sz w:val="16"/>
        </w:rPr>
        <w:t>každé</w:t>
      </w:r>
      <w:r>
        <w:rPr>
          <w:sz w:val="16"/>
        </w:rPr>
        <w:t xml:space="preserve"> 2 </w:t>
      </w:r>
      <w:r>
        <w:rPr>
          <w:spacing w:val="-2"/>
          <w:sz w:val="16"/>
        </w:rPr>
        <w:t>roky.</w:t>
      </w:r>
    </w:p>
    <w:p>
      <w:pPr>
        <w:pStyle w:val="ListParagraph"/>
        <w:numPr>
          <w:ilvl w:val="0"/>
          <w:numId w:val="11"/>
        </w:numPr>
        <w:tabs>
          <w:tab w:val="left" w:pos="548"/>
        </w:tabs>
        <w:spacing w:before="189" w:after="0" w:line="278" w:lineRule="auto"/>
        <w:ind w:left="295" w:right="387" w:firstLine="0"/>
        <w:jc w:val="both"/>
        <w:rPr>
          <w:sz w:val="18"/>
        </w:rPr>
      </w:pPr>
      <w:r>
        <w:rPr>
          <w:sz w:val="16"/>
        </w:rPr>
        <w:t xml:space="preserve">Nejprve </w:t>
      </w:r>
      <w:r>
        <w:rPr>
          <w:sz w:val="16"/>
        </w:rPr>
        <w:t xml:space="preserve">baterii </w:t>
      </w:r>
      <w:r>
        <w:rPr>
          <w:sz w:val="16"/>
        </w:rPr>
        <w:t xml:space="preserve">plně </w:t>
      </w:r>
      <w:r>
        <w:rPr>
          <w:sz w:val="16"/>
        </w:rPr>
        <w:t xml:space="preserve">nabijte </w:t>
      </w:r>
      <w:r>
        <w:rPr>
          <w:sz w:val="16"/>
        </w:rPr>
        <w:t>(</w:t>
      </w:r>
      <w:r>
        <w:rPr>
          <w:sz w:val="16"/>
        </w:rPr>
        <w:t xml:space="preserve">nabití </w:t>
      </w:r>
      <w:r>
        <w:rPr>
          <w:sz w:val="16"/>
        </w:rPr>
        <w:t xml:space="preserve">dvou </w:t>
      </w:r>
      <w:r>
        <w:rPr>
          <w:sz w:val="16"/>
        </w:rPr>
        <w:t xml:space="preserve">baterií </w:t>
      </w:r>
      <w:r>
        <w:rPr>
          <w:sz w:val="16"/>
        </w:rPr>
        <w:t xml:space="preserve">trvá 12 </w:t>
      </w:r>
      <w:r>
        <w:rPr>
          <w:sz w:val="16"/>
        </w:rPr>
        <w:t>hodin</w:t>
      </w:r>
      <w:r>
        <w:rPr>
          <w:sz w:val="16"/>
        </w:rPr>
        <w:t xml:space="preserve">, když </w:t>
      </w:r>
      <w:r>
        <w:rPr>
          <w:sz w:val="16"/>
        </w:rPr>
        <w:t xml:space="preserve">je čerpadlo </w:t>
      </w:r>
      <w:r>
        <w:rPr>
          <w:sz w:val="16"/>
        </w:rPr>
        <w:t>zapnuté</w:t>
      </w:r>
      <w:r>
        <w:rPr>
          <w:sz w:val="16"/>
        </w:rPr>
        <w:t>, a</w:t>
      </w:r>
      <w:r>
        <w:rPr>
          <w:sz w:val="16"/>
        </w:rPr>
        <w:t xml:space="preserve"> 6 </w:t>
      </w:r>
      <w:r>
        <w:rPr>
          <w:sz w:val="16"/>
        </w:rPr>
        <w:t xml:space="preserve">hodin, </w:t>
      </w:r>
      <w:r>
        <w:rPr>
          <w:sz w:val="16"/>
        </w:rPr>
        <w:t xml:space="preserve">když </w:t>
      </w:r>
      <w:r>
        <w:rPr>
          <w:sz w:val="16"/>
        </w:rPr>
        <w:t xml:space="preserve">je vypnuté. </w:t>
      </w:r>
      <w:r>
        <w:rPr>
          <w:sz w:val="16"/>
        </w:rPr>
        <w:t xml:space="preserve">Nabití </w:t>
      </w:r>
      <w:r>
        <w:rPr>
          <w:sz w:val="16"/>
        </w:rPr>
        <w:t xml:space="preserve">jedné </w:t>
      </w:r>
      <w:r>
        <w:rPr>
          <w:sz w:val="16"/>
        </w:rPr>
        <w:t xml:space="preserve">volitelné </w:t>
      </w:r>
      <w:r>
        <w:rPr>
          <w:sz w:val="16"/>
        </w:rPr>
        <w:t xml:space="preserve">baterie </w:t>
      </w:r>
      <w:r>
        <w:rPr>
          <w:sz w:val="16"/>
        </w:rPr>
        <w:t xml:space="preserve">trvá 6 </w:t>
      </w:r>
      <w:r>
        <w:rPr>
          <w:sz w:val="16"/>
        </w:rPr>
        <w:t>hodin</w:t>
      </w:r>
      <w:r>
        <w:rPr>
          <w:sz w:val="16"/>
        </w:rPr>
        <w:t xml:space="preserve">, </w:t>
      </w:r>
      <w:r>
        <w:rPr>
          <w:sz w:val="16"/>
        </w:rPr>
        <w:t xml:space="preserve">když </w:t>
      </w:r>
      <w:r>
        <w:rPr>
          <w:sz w:val="16"/>
        </w:rPr>
        <w:t xml:space="preserve">je </w:t>
      </w:r>
      <w:r>
        <w:rPr>
          <w:sz w:val="16"/>
        </w:rPr>
        <w:t xml:space="preserve">čerpadlo </w:t>
      </w:r>
      <w:r>
        <w:rPr>
          <w:sz w:val="16"/>
        </w:rPr>
        <w:t>zapnuté, a 3 hodiny, když je vypnuté).</w:t>
      </w:r>
    </w:p>
    <w:p>
      <w:pPr>
        <w:pStyle w:val="ListParagraph"/>
        <w:spacing w:after="0" w:line="278" w:lineRule="auto"/>
        <w:jc w:val="both"/>
        <w:rPr>
          <w:sz w:val="18"/>
        </w:rPr>
        <w:sectPr>
          <w:pgSz w:w="8390" w:h="11910"/>
          <w:pgMar w:top="640" w:right="425" w:bottom="540" w:left="425" w:header="0" w:footer="342"/>
          <w:cols w:space="708"/>
        </w:sectPr>
      </w:pPr>
    </w:p>
    <w:p>
      <w:pPr>
        <w:pStyle w:val="ListParagraph"/>
        <w:numPr>
          <w:ilvl w:val="0"/>
          <w:numId w:val="11"/>
        </w:numPr>
        <w:tabs>
          <w:tab w:val="left" w:pos="545"/>
        </w:tabs>
        <w:spacing w:before="73" w:after="0" w:line="273" w:lineRule="auto"/>
        <w:ind w:left="295" w:right="1055" w:firstLine="0"/>
        <w:jc w:val="left"/>
        <w:rPr>
          <w:sz w:val="18"/>
        </w:rPr>
      </w:pPr>
      <w:r>
        <w:rPr>
          <w:sz w:val="16"/>
        </w:rPr>
        <w:t xml:space="preserve">Otestujte </w:t>
      </w:r>
      <w:r>
        <w:rPr>
          <w:sz w:val="16"/>
        </w:rPr>
        <w:t xml:space="preserve">injekční </w:t>
      </w:r>
      <w:r>
        <w:rPr>
          <w:sz w:val="16"/>
        </w:rPr>
        <w:t xml:space="preserve">pumpu </w:t>
      </w:r>
      <w:r>
        <w:rPr>
          <w:sz w:val="16"/>
        </w:rPr>
        <w:t xml:space="preserve">při </w:t>
      </w:r>
      <w:r>
        <w:rPr>
          <w:sz w:val="16"/>
        </w:rPr>
        <w:t>rychlosti</w:t>
      </w:r>
      <w:r>
        <w:rPr>
          <w:sz w:val="16"/>
        </w:rPr>
        <w:t xml:space="preserve"> 5 ml/h </w:t>
      </w:r>
      <w:r>
        <w:rPr>
          <w:sz w:val="16"/>
        </w:rPr>
        <w:t xml:space="preserve">a </w:t>
      </w:r>
      <w:r>
        <w:rPr>
          <w:sz w:val="16"/>
        </w:rPr>
        <w:t xml:space="preserve">zaznamenejte </w:t>
      </w:r>
      <w:r>
        <w:rPr>
          <w:sz w:val="16"/>
        </w:rPr>
        <w:t>dobu</w:t>
      </w:r>
      <w:r>
        <w:rPr>
          <w:sz w:val="16"/>
        </w:rPr>
        <w:t xml:space="preserve">, po kterou </w:t>
      </w:r>
      <w:r>
        <w:rPr>
          <w:sz w:val="16"/>
        </w:rPr>
        <w:t xml:space="preserve">baterie </w:t>
      </w:r>
      <w:r>
        <w:rPr>
          <w:spacing w:val="-2"/>
          <w:sz w:val="16"/>
        </w:rPr>
        <w:t>vydrží.</w:t>
      </w:r>
    </w:p>
    <w:p>
      <w:pPr>
        <w:pStyle w:val="ListParagraph"/>
        <w:numPr>
          <w:ilvl w:val="1"/>
          <w:numId w:val="11"/>
        </w:numPr>
        <w:tabs>
          <w:tab w:val="left" w:pos="383"/>
          <w:tab w:val="left" w:pos="396"/>
        </w:tabs>
        <w:spacing w:before="157" w:after="0" w:line="273" w:lineRule="auto"/>
        <w:ind w:left="383" w:right="358" w:hanging="89"/>
        <w:jc w:val="left"/>
        <w:rPr>
          <w:sz w:val="18"/>
        </w:rPr>
      </w:pPr>
      <w:r>
        <w:rPr>
          <w:sz w:val="16"/>
        </w:rPr>
        <w:t xml:space="preserve">Při použití </w:t>
      </w:r>
      <w:r>
        <w:rPr>
          <w:sz w:val="16"/>
        </w:rPr>
        <w:t xml:space="preserve">dvou baterií je baterie stále v dobrém </w:t>
      </w:r>
      <w:r>
        <w:rPr>
          <w:sz w:val="16"/>
        </w:rPr>
        <w:t>stavu,</w:t>
      </w:r>
      <w:r>
        <w:rPr>
          <w:sz w:val="16"/>
        </w:rPr>
        <w:t xml:space="preserve"> pokud doba infuze přesáhne 600 minut</w:t>
      </w:r>
      <w:r>
        <w:rPr>
          <w:sz w:val="16"/>
        </w:rPr>
        <w:t xml:space="preserve">; </w:t>
      </w:r>
      <w:r>
        <w:rPr>
          <w:sz w:val="16"/>
        </w:rPr>
        <w:t xml:space="preserve">pokud </w:t>
      </w:r>
      <w:r>
        <w:rPr>
          <w:sz w:val="16"/>
        </w:rPr>
        <w:t xml:space="preserve">doba </w:t>
      </w:r>
      <w:r>
        <w:rPr>
          <w:sz w:val="16"/>
        </w:rPr>
        <w:t xml:space="preserve">trvá </w:t>
      </w:r>
      <w:r>
        <w:rPr>
          <w:sz w:val="16"/>
        </w:rPr>
        <w:t xml:space="preserve">déle </w:t>
      </w:r>
      <w:r>
        <w:rPr>
          <w:sz w:val="16"/>
        </w:rPr>
        <w:t>než</w:t>
      </w:r>
      <w:r>
        <w:rPr>
          <w:sz w:val="16"/>
        </w:rPr>
        <w:t xml:space="preserve"> 300 </w:t>
      </w:r>
      <w:r>
        <w:rPr>
          <w:sz w:val="16"/>
        </w:rPr>
        <w:t>minut</w:t>
      </w:r>
      <w:r>
        <w:rPr>
          <w:sz w:val="16"/>
        </w:rPr>
        <w:t>,</w:t>
      </w:r>
      <w:r>
        <w:rPr>
          <w:sz w:val="16"/>
        </w:rPr>
        <w:t xml:space="preserve"> ale </w:t>
      </w:r>
      <w:r>
        <w:rPr>
          <w:sz w:val="16"/>
        </w:rPr>
        <w:t xml:space="preserve">méně </w:t>
      </w:r>
      <w:r>
        <w:rPr>
          <w:sz w:val="16"/>
        </w:rPr>
        <w:t>než</w:t>
      </w:r>
      <w:r>
        <w:rPr>
          <w:sz w:val="16"/>
        </w:rPr>
        <w:t xml:space="preserve"> 600 </w:t>
      </w:r>
      <w:r>
        <w:rPr>
          <w:sz w:val="16"/>
        </w:rPr>
        <w:t xml:space="preserve">minut, </w:t>
      </w:r>
      <w:r>
        <w:rPr>
          <w:sz w:val="16"/>
        </w:rPr>
        <w:t xml:space="preserve">baterie se začíná zhoršovat, ale </w:t>
      </w:r>
      <w:r>
        <w:rPr>
          <w:sz w:val="16"/>
        </w:rPr>
        <w:t xml:space="preserve">lze </w:t>
      </w:r>
      <w:r>
        <w:rPr>
          <w:sz w:val="16"/>
        </w:rPr>
        <w:t xml:space="preserve">ji dočasně používat; pokud </w:t>
      </w:r>
      <w:r>
        <w:rPr>
          <w:sz w:val="16"/>
        </w:rPr>
        <w:t xml:space="preserve">doba trvá </w:t>
      </w:r>
      <w:r>
        <w:rPr>
          <w:sz w:val="16"/>
        </w:rPr>
        <w:t xml:space="preserve">méně než 300 minut, </w:t>
      </w:r>
      <w:r>
        <w:rPr>
          <w:sz w:val="16"/>
        </w:rPr>
        <w:t>baterie dosáhla konce své životnosti a je třeba ji vyměnit.</w:t>
      </w:r>
    </w:p>
    <w:p>
      <w:pPr>
        <w:pStyle w:val="ListParagraph"/>
        <w:numPr>
          <w:ilvl w:val="1"/>
          <w:numId w:val="11"/>
        </w:numPr>
        <w:tabs>
          <w:tab w:val="left" w:pos="383"/>
          <w:tab w:val="left" w:pos="396"/>
        </w:tabs>
        <w:spacing w:before="155" w:after="0" w:line="273" w:lineRule="auto"/>
        <w:ind w:left="383" w:right="358" w:hanging="89"/>
        <w:jc w:val="left"/>
        <w:rPr>
          <w:sz w:val="18"/>
        </w:rPr>
      </w:pPr>
      <w:r>
        <w:rPr>
          <w:sz w:val="16"/>
        </w:rPr>
        <w:t xml:space="preserve">Při použití </w:t>
      </w:r>
      <w:r>
        <w:rPr>
          <w:sz w:val="16"/>
        </w:rPr>
        <w:t xml:space="preserve">jednoho akumulátoru, pokud doba infuze přesáhne 300 minut, je akumulátor stále v dobrém </w:t>
      </w:r>
      <w:r>
        <w:rPr>
          <w:sz w:val="16"/>
        </w:rPr>
        <w:t xml:space="preserve">stavu; </w:t>
      </w:r>
      <w:r>
        <w:rPr>
          <w:sz w:val="16"/>
        </w:rPr>
        <w:t xml:space="preserve">pokud </w:t>
      </w:r>
      <w:r>
        <w:rPr>
          <w:sz w:val="16"/>
        </w:rPr>
        <w:t xml:space="preserve">doba trvání </w:t>
      </w:r>
      <w:r>
        <w:rPr>
          <w:sz w:val="16"/>
        </w:rPr>
        <w:t xml:space="preserve">je </w:t>
      </w:r>
      <w:r>
        <w:rPr>
          <w:sz w:val="16"/>
        </w:rPr>
        <w:t xml:space="preserve">více </w:t>
      </w:r>
      <w:r>
        <w:rPr>
          <w:sz w:val="16"/>
        </w:rPr>
        <w:t>než</w:t>
      </w:r>
      <w:r>
        <w:rPr>
          <w:sz w:val="16"/>
        </w:rPr>
        <w:t xml:space="preserve"> 150 </w:t>
      </w:r>
      <w:r>
        <w:rPr>
          <w:sz w:val="16"/>
        </w:rPr>
        <w:t>minut</w:t>
      </w:r>
      <w:r>
        <w:rPr>
          <w:sz w:val="16"/>
        </w:rPr>
        <w:t xml:space="preserve">, ale </w:t>
      </w:r>
      <w:r>
        <w:rPr>
          <w:sz w:val="16"/>
        </w:rPr>
        <w:t xml:space="preserve">méně </w:t>
      </w:r>
      <w:r>
        <w:rPr>
          <w:sz w:val="16"/>
        </w:rPr>
        <w:t>než</w:t>
      </w:r>
      <w:r>
        <w:rPr>
          <w:sz w:val="16"/>
        </w:rPr>
        <w:t xml:space="preserve"> 300 </w:t>
      </w:r>
      <w:r>
        <w:rPr>
          <w:sz w:val="16"/>
        </w:rPr>
        <w:t xml:space="preserve">minut, </w:t>
      </w:r>
      <w:r>
        <w:rPr>
          <w:sz w:val="16"/>
        </w:rPr>
        <w:t xml:space="preserve">akumulátor se začíná zhoršovat, ale </w:t>
      </w:r>
      <w:r>
        <w:rPr>
          <w:sz w:val="16"/>
        </w:rPr>
        <w:t xml:space="preserve">lze </w:t>
      </w:r>
      <w:r>
        <w:rPr>
          <w:sz w:val="16"/>
        </w:rPr>
        <w:t xml:space="preserve">jej </w:t>
      </w:r>
      <w:r>
        <w:rPr>
          <w:sz w:val="16"/>
        </w:rPr>
        <w:t xml:space="preserve">stále </w:t>
      </w:r>
      <w:r>
        <w:rPr>
          <w:sz w:val="16"/>
        </w:rPr>
        <w:t xml:space="preserve">dočasně používat; pokud </w:t>
      </w:r>
      <w:r>
        <w:rPr>
          <w:sz w:val="16"/>
        </w:rPr>
        <w:t xml:space="preserve">je doba trvání </w:t>
      </w:r>
      <w:r>
        <w:rPr>
          <w:sz w:val="16"/>
        </w:rPr>
        <w:t xml:space="preserve">méně než 150 minut, </w:t>
      </w:r>
      <w:r>
        <w:rPr>
          <w:sz w:val="16"/>
        </w:rPr>
        <w:t>akumulátor dosáhl konce své životnosti a je třeba jej vyměnit.</w:t>
      </w:r>
    </w:p>
    <w:p>
      <w:pPr>
        <w:pStyle w:val="BodyText"/>
        <w:spacing w:before="47"/>
        <w:ind w:left="0"/>
      </w:pPr>
    </w:p>
    <w:p>
      <w:pPr>
        <w:pStyle w:val="Heading2"/>
      </w:pPr>
      <w:r>
        <w:rPr>
          <w:sz w:val="16"/>
        </w:rPr>
        <w:t>V</w:t>
      </w:r>
      <w:r>
        <w:rPr>
          <w:sz w:val="16"/>
        </w:rPr>
        <w:t>ým</w:t>
      </w:r>
      <w:r>
        <w:rPr>
          <w:sz w:val="16"/>
        </w:rPr>
        <w:t xml:space="preserve">ěna </w:t>
      </w:r>
      <w:r>
        <w:rPr>
          <w:sz w:val="16"/>
        </w:rPr>
        <w:t xml:space="preserve">vnitřní </w:t>
      </w:r>
      <w:r>
        <w:rPr>
          <w:spacing w:val="-2"/>
          <w:sz w:val="16"/>
        </w:rPr>
        <w:t>baterie</w:t>
      </w:r>
    </w:p>
    <w:p>
      <w:pPr>
        <w:pStyle w:val="BodyText"/>
        <w:spacing w:before="184" w:line="276" w:lineRule="auto"/>
      </w:pPr>
      <w:r>
        <w:rPr>
          <w:sz w:val="16"/>
        </w:rPr>
        <w:t>Doporučuje</w:t>
      </w:r>
      <w:r>
        <w:rPr>
          <w:sz w:val="16"/>
        </w:rPr>
        <w:t xml:space="preserve"> se </w:t>
      </w:r>
      <w:r>
        <w:rPr>
          <w:sz w:val="16"/>
        </w:rPr>
        <w:t xml:space="preserve">vyměnit </w:t>
      </w:r>
      <w:r>
        <w:rPr>
          <w:sz w:val="16"/>
        </w:rPr>
        <w:t xml:space="preserve">baterii </w:t>
      </w:r>
      <w:r>
        <w:rPr>
          <w:sz w:val="16"/>
        </w:rPr>
        <w:t xml:space="preserve">každé </w:t>
      </w:r>
      <w:r>
        <w:rPr>
          <w:sz w:val="16"/>
        </w:rPr>
        <w:t xml:space="preserve">dva </w:t>
      </w:r>
      <w:r>
        <w:rPr>
          <w:sz w:val="16"/>
        </w:rPr>
        <w:t xml:space="preserve">roky. </w:t>
      </w:r>
      <w:r>
        <w:rPr>
          <w:sz w:val="16"/>
        </w:rPr>
        <w:t xml:space="preserve">Ohledně </w:t>
      </w:r>
      <w:r>
        <w:rPr>
          <w:sz w:val="16"/>
        </w:rPr>
        <w:t xml:space="preserve">výměny baterie </w:t>
      </w:r>
      <w:r>
        <w:rPr>
          <w:sz w:val="16"/>
        </w:rPr>
        <w:t xml:space="preserve">se obraťte </w:t>
      </w:r>
      <w:r>
        <w:rPr>
          <w:sz w:val="16"/>
        </w:rPr>
        <w:t xml:space="preserve">na </w:t>
      </w:r>
      <w:r>
        <w:rPr>
          <w:sz w:val="16"/>
        </w:rPr>
        <w:t>prodejce</w:t>
      </w:r>
      <w:r>
        <w:rPr>
          <w:sz w:val="16"/>
        </w:rPr>
        <w:t>; nepokoušejte se ji rozebírat sami.</w:t>
      </w:r>
    </w:p>
    <w:p>
      <w:pPr>
        <w:pStyle w:val="BodyText"/>
        <w:spacing w:before="83"/>
        <w:ind w:left="0"/>
      </w:pPr>
    </w:p>
    <w:p>
      <w:pPr>
        <w:pStyle w:val="Heading1"/>
        <w:numPr>
          <w:ilvl w:val="1"/>
          <w:numId w:val="1"/>
        </w:numPr>
        <w:tabs>
          <w:tab w:val="left" w:pos="682"/>
        </w:tabs>
        <w:spacing w:before="0" w:after="0" w:line="240" w:lineRule="auto"/>
        <w:ind w:left="682" w:right="0" w:hanging="387"/>
        <w:jc w:val="left"/>
      </w:pPr>
      <w:bookmarkStart w:id="82" w:name="11.4 Regular Maintenance Procedure"/>
      <w:bookmarkEnd w:id="82"/>
      <w:bookmarkStart w:id="83" w:name="_bookmark41"/>
      <w:bookmarkEnd w:id="83"/>
      <w:r>
        <w:rPr>
          <w:spacing w:val="-2"/>
          <w:sz w:val="18"/>
        </w:rPr>
        <w:t xml:space="preserve">Postup </w:t>
      </w:r>
      <w:r>
        <w:rPr>
          <w:sz w:val="18"/>
        </w:rPr>
        <w:t xml:space="preserve">pravidelné </w:t>
      </w:r>
      <w:r>
        <w:rPr>
          <w:sz w:val="18"/>
        </w:rPr>
        <w:t>údržby</w:t>
      </w:r>
    </w:p>
    <w:p>
      <w:pPr>
        <w:pStyle w:val="BodyText"/>
        <w:spacing w:before="173" w:line="273" w:lineRule="auto"/>
        <w:ind w:right="353"/>
      </w:pPr>
      <w:r>
        <w:rPr>
          <w:sz w:val="16"/>
        </w:rPr>
        <w:t xml:space="preserve">Pokud zjistíte jakékoli abnormality, kontaktujte prodejce za účelem opravy. Nepokoušejte se </w:t>
      </w:r>
      <w:r>
        <w:rPr>
          <w:sz w:val="16"/>
        </w:rPr>
        <w:t xml:space="preserve">zařízení </w:t>
      </w:r>
      <w:r>
        <w:rPr>
          <w:sz w:val="16"/>
        </w:rPr>
        <w:t xml:space="preserve">sami </w:t>
      </w:r>
      <w:r>
        <w:rPr>
          <w:sz w:val="16"/>
        </w:rPr>
        <w:t xml:space="preserve">rozebírat </w:t>
      </w:r>
      <w:r>
        <w:rPr>
          <w:sz w:val="16"/>
        </w:rPr>
        <w:t xml:space="preserve">ani </w:t>
      </w:r>
      <w:r>
        <w:rPr>
          <w:sz w:val="16"/>
        </w:rPr>
        <w:t>opravovat</w:t>
      </w:r>
      <w:r>
        <w:rPr>
          <w:sz w:val="16"/>
        </w:rPr>
        <w:t xml:space="preserve">. </w:t>
      </w:r>
      <w:r>
        <w:rPr>
          <w:sz w:val="16"/>
        </w:rPr>
        <w:t xml:space="preserve">Po </w:t>
      </w:r>
      <w:r>
        <w:rPr>
          <w:sz w:val="16"/>
        </w:rPr>
        <w:t xml:space="preserve">opravě </w:t>
      </w:r>
      <w:r>
        <w:rPr>
          <w:sz w:val="16"/>
        </w:rPr>
        <w:t xml:space="preserve">by měla </w:t>
      </w:r>
      <w:r>
        <w:rPr>
          <w:sz w:val="16"/>
        </w:rPr>
        <w:t xml:space="preserve">být </w:t>
      </w:r>
      <w:r>
        <w:rPr>
          <w:sz w:val="16"/>
        </w:rPr>
        <w:t xml:space="preserve">injekční </w:t>
      </w:r>
      <w:r>
        <w:rPr>
          <w:sz w:val="16"/>
        </w:rPr>
        <w:t xml:space="preserve">pumpa </w:t>
      </w:r>
      <w:r>
        <w:rPr>
          <w:sz w:val="16"/>
        </w:rPr>
        <w:t xml:space="preserve">důkladně otestována. </w:t>
      </w:r>
      <w:r>
        <w:rPr>
          <w:sz w:val="16"/>
        </w:rPr>
        <w:t xml:space="preserve">V </w:t>
      </w:r>
      <w:r>
        <w:rPr>
          <w:sz w:val="16"/>
        </w:rPr>
        <w:t xml:space="preserve">případě potřeby </w:t>
      </w:r>
      <w:r>
        <w:rPr>
          <w:sz w:val="16"/>
        </w:rPr>
        <w:t xml:space="preserve">může </w:t>
      </w:r>
      <w:r>
        <w:rPr>
          <w:sz w:val="16"/>
        </w:rPr>
        <w:t xml:space="preserve">společnost </w:t>
      </w:r>
      <w:r>
        <w:rPr>
          <w:sz w:val="16"/>
        </w:rPr>
        <w:t xml:space="preserve">poskytnout </w:t>
      </w:r>
      <w:r>
        <w:rPr>
          <w:sz w:val="16"/>
        </w:rPr>
        <w:t xml:space="preserve">autorizovanému </w:t>
      </w:r>
      <w:r>
        <w:rPr>
          <w:sz w:val="16"/>
        </w:rPr>
        <w:t xml:space="preserve">opraváři </w:t>
      </w:r>
      <w:r>
        <w:rPr>
          <w:sz w:val="16"/>
        </w:rPr>
        <w:t>potřebné schémata obvodů a seznamy komponentů pro opravy.</w:t>
      </w:r>
    </w:p>
    <w:p>
      <w:pPr>
        <w:pStyle w:val="BodyText"/>
        <w:spacing w:before="85"/>
        <w:ind w:left="0"/>
      </w:pPr>
    </w:p>
    <w:p>
      <w:pPr>
        <w:pStyle w:val="Heading1"/>
        <w:numPr>
          <w:ilvl w:val="1"/>
          <w:numId w:val="1"/>
        </w:numPr>
        <w:tabs>
          <w:tab w:val="left" w:pos="682"/>
        </w:tabs>
        <w:spacing w:before="1" w:after="0" w:line="240" w:lineRule="auto"/>
        <w:ind w:left="682" w:right="0" w:hanging="387"/>
        <w:jc w:val="left"/>
      </w:pPr>
      <w:bookmarkStart w:id="84" w:name="11.5 Maintenance and Care during Long-te"/>
      <w:bookmarkEnd w:id="84"/>
      <w:bookmarkStart w:id="85" w:name="_bookmark42"/>
      <w:bookmarkEnd w:id="85"/>
      <w:r>
        <w:rPr>
          <w:sz w:val="18"/>
        </w:rPr>
        <w:t xml:space="preserve">Údržba </w:t>
      </w:r>
      <w:r>
        <w:rPr>
          <w:sz w:val="18"/>
        </w:rPr>
        <w:t xml:space="preserve">a </w:t>
      </w:r>
      <w:r>
        <w:rPr>
          <w:sz w:val="18"/>
        </w:rPr>
        <w:t xml:space="preserve">péče </w:t>
      </w:r>
      <w:r>
        <w:rPr>
          <w:sz w:val="18"/>
        </w:rPr>
        <w:t xml:space="preserve">při </w:t>
      </w:r>
      <w:r>
        <w:rPr>
          <w:sz w:val="18"/>
        </w:rPr>
        <w:t xml:space="preserve">dlouhodobém </w:t>
      </w:r>
      <w:r>
        <w:rPr>
          <w:spacing w:val="-2"/>
          <w:sz w:val="18"/>
        </w:rPr>
        <w:t>skladování</w:t>
      </w:r>
    </w:p>
    <w:p>
      <w:pPr>
        <w:pStyle w:val="BodyText"/>
        <w:spacing w:before="177" w:line="273" w:lineRule="auto"/>
        <w:ind w:right="353"/>
      </w:pPr>
      <w:r>
        <w:rPr>
          <w:sz w:val="16"/>
        </w:rPr>
        <w:t xml:space="preserve">Pokud </w:t>
      </w:r>
      <w:r>
        <w:rPr>
          <w:sz w:val="16"/>
        </w:rPr>
        <w:t xml:space="preserve">nebude </w:t>
      </w:r>
      <w:r>
        <w:rPr>
          <w:sz w:val="16"/>
        </w:rPr>
        <w:t xml:space="preserve">injekční </w:t>
      </w:r>
      <w:r>
        <w:rPr>
          <w:sz w:val="16"/>
        </w:rPr>
        <w:t xml:space="preserve">pumpa </w:t>
      </w:r>
      <w:r>
        <w:rPr>
          <w:sz w:val="16"/>
        </w:rPr>
        <w:t>delší</w:t>
      </w:r>
      <w:r>
        <w:rPr>
          <w:sz w:val="16"/>
        </w:rPr>
        <w:t xml:space="preserve"> </w:t>
      </w:r>
      <w:r>
        <w:rPr>
          <w:sz w:val="16"/>
        </w:rPr>
        <w:t xml:space="preserve">dobu </w:t>
      </w:r>
      <w:r>
        <w:rPr>
          <w:sz w:val="16"/>
        </w:rPr>
        <w:t>používána</w:t>
      </w:r>
      <w:r>
        <w:rPr>
          <w:sz w:val="16"/>
        </w:rPr>
        <w:t xml:space="preserve">, </w:t>
      </w:r>
      <w:r>
        <w:rPr>
          <w:sz w:val="16"/>
        </w:rPr>
        <w:t>měla by</w:t>
      </w:r>
      <w:r>
        <w:rPr>
          <w:sz w:val="16"/>
        </w:rPr>
        <w:t xml:space="preserve"> </w:t>
      </w:r>
      <w:r>
        <w:rPr>
          <w:sz w:val="16"/>
        </w:rPr>
        <w:t xml:space="preserve">být </w:t>
      </w:r>
      <w:r>
        <w:rPr>
          <w:sz w:val="16"/>
        </w:rPr>
        <w:t xml:space="preserve">vrácena </w:t>
      </w:r>
      <w:r>
        <w:rPr>
          <w:sz w:val="16"/>
        </w:rPr>
        <w:t xml:space="preserve">do </w:t>
      </w:r>
      <w:r>
        <w:rPr>
          <w:sz w:val="16"/>
        </w:rPr>
        <w:t>obalu, aby nebyla vystavena přímému slunečnímu záření, a uložena na chladném a suchém místě. Konkrétní podmínky prostředí najdete v části 12.2.</w:t>
      </w:r>
    </w:p>
    <w:p>
      <w:pPr>
        <w:pStyle w:val="BodyText"/>
        <w:spacing w:line="273" w:lineRule="auto"/>
        <w:ind w:right="353"/>
      </w:pPr>
      <w:r>
        <w:rPr>
          <w:sz w:val="16"/>
        </w:rPr>
        <w:t xml:space="preserve">Před </w:t>
      </w:r>
      <w:r>
        <w:rPr>
          <w:sz w:val="16"/>
        </w:rPr>
        <w:t xml:space="preserve">opětovným použitím </w:t>
      </w:r>
      <w:r>
        <w:rPr>
          <w:sz w:val="16"/>
        </w:rPr>
        <w:t xml:space="preserve">injekční </w:t>
      </w:r>
      <w:r>
        <w:rPr>
          <w:sz w:val="16"/>
        </w:rPr>
        <w:t xml:space="preserve">pumpy </w:t>
      </w:r>
      <w:r>
        <w:rPr>
          <w:sz w:val="16"/>
        </w:rPr>
        <w:t xml:space="preserve">po </w:t>
      </w:r>
      <w:r>
        <w:rPr>
          <w:sz w:val="16"/>
        </w:rPr>
        <w:t xml:space="preserve">delší </w:t>
      </w:r>
      <w:r>
        <w:rPr>
          <w:sz w:val="16"/>
        </w:rPr>
        <w:t xml:space="preserve">době </w:t>
      </w:r>
      <w:r>
        <w:rPr>
          <w:sz w:val="16"/>
        </w:rPr>
        <w:t xml:space="preserve">nepoužívání </w:t>
      </w:r>
      <w:r>
        <w:rPr>
          <w:sz w:val="16"/>
        </w:rPr>
        <w:t xml:space="preserve">je třeba provést </w:t>
      </w:r>
      <w:r>
        <w:rPr>
          <w:sz w:val="16"/>
        </w:rPr>
        <w:t xml:space="preserve">následující </w:t>
      </w:r>
      <w:r>
        <w:rPr>
          <w:sz w:val="16"/>
        </w:rPr>
        <w:t>postupy:</w:t>
      </w:r>
    </w:p>
    <w:p>
      <w:pPr>
        <w:pStyle w:val="ListParagraph"/>
        <w:numPr>
          <w:ilvl w:val="0"/>
          <w:numId w:val="10"/>
        </w:numPr>
        <w:tabs>
          <w:tab w:val="left" w:pos="474"/>
        </w:tabs>
        <w:spacing w:before="155" w:after="0" w:line="273" w:lineRule="auto"/>
        <w:ind w:left="295" w:right="370" w:firstLine="0"/>
        <w:jc w:val="left"/>
        <w:rPr>
          <w:sz w:val="18"/>
        </w:rPr>
      </w:pPr>
      <w:r>
        <w:rPr>
          <w:sz w:val="16"/>
        </w:rPr>
        <w:t xml:space="preserve">Je </w:t>
      </w:r>
      <w:r>
        <w:rPr>
          <w:sz w:val="16"/>
        </w:rPr>
        <w:t xml:space="preserve">třeba </w:t>
      </w:r>
      <w:r>
        <w:rPr>
          <w:sz w:val="16"/>
        </w:rPr>
        <w:t xml:space="preserve">ověřit </w:t>
      </w:r>
      <w:r>
        <w:rPr>
          <w:sz w:val="16"/>
        </w:rPr>
        <w:t xml:space="preserve">přesnost </w:t>
      </w:r>
      <w:r>
        <w:rPr>
          <w:sz w:val="16"/>
        </w:rPr>
        <w:t xml:space="preserve">průtoku, </w:t>
      </w:r>
      <w:r>
        <w:rPr>
          <w:sz w:val="16"/>
        </w:rPr>
        <w:t xml:space="preserve">aby </w:t>
      </w:r>
      <w:r>
        <w:rPr>
          <w:sz w:val="16"/>
        </w:rPr>
        <w:t xml:space="preserve">se předešlo </w:t>
      </w:r>
      <w:r>
        <w:rPr>
          <w:sz w:val="16"/>
        </w:rPr>
        <w:t xml:space="preserve">chybám </w:t>
      </w:r>
      <w:r>
        <w:rPr>
          <w:sz w:val="16"/>
        </w:rPr>
        <w:t xml:space="preserve">při infuzi </w:t>
      </w:r>
      <w:r>
        <w:rPr>
          <w:sz w:val="16"/>
        </w:rPr>
        <w:t xml:space="preserve">způsobeným </w:t>
      </w:r>
      <w:r>
        <w:rPr>
          <w:sz w:val="16"/>
        </w:rPr>
        <w:t xml:space="preserve">nesrovnalostmi </w:t>
      </w:r>
      <w:r>
        <w:rPr>
          <w:sz w:val="16"/>
        </w:rPr>
        <w:t>mezi vnitřními parametry injekční stříkačky a skutečnou injekční stříkačkou, které mohou mít vliv na účinnost léčby a potenciálně vést k lékařským nehodám.</w:t>
      </w:r>
    </w:p>
    <w:p>
      <w:pPr>
        <w:pStyle w:val="ListParagraph"/>
        <w:numPr>
          <w:ilvl w:val="0"/>
          <w:numId w:val="10"/>
        </w:numPr>
        <w:tabs>
          <w:tab w:val="left" w:pos="474"/>
        </w:tabs>
        <w:spacing w:before="156" w:after="0" w:line="240" w:lineRule="auto"/>
        <w:ind w:left="474" w:right="0" w:hanging="179"/>
        <w:jc w:val="left"/>
        <w:rPr>
          <w:sz w:val="18"/>
        </w:rPr>
      </w:pPr>
      <w:r>
        <w:rPr>
          <w:sz w:val="16"/>
        </w:rPr>
        <w:t xml:space="preserve">Proveďte </w:t>
      </w:r>
      <w:r>
        <w:rPr>
          <w:spacing w:val="-2"/>
          <w:sz w:val="16"/>
        </w:rPr>
        <w:t xml:space="preserve">test </w:t>
      </w:r>
      <w:r>
        <w:rPr>
          <w:sz w:val="16"/>
        </w:rPr>
        <w:t xml:space="preserve">alarmu </w:t>
      </w:r>
      <w:r>
        <w:rPr>
          <w:sz w:val="16"/>
        </w:rPr>
        <w:t>ucpání</w:t>
      </w:r>
      <w:r>
        <w:rPr>
          <w:spacing w:val="-2"/>
          <w:sz w:val="16"/>
        </w:rPr>
        <w:t>.</w:t>
      </w:r>
    </w:p>
    <w:p>
      <w:pPr>
        <w:pStyle w:val="ListParagraph"/>
        <w:numPr>
          <w:ilvl w:val="0"/>
          <w:numId w:val="10"/>
        </w:numPr>
        <w:tabs>
          <w:tab w:val="left" w:pos="474"/>
        </w:tabs>
        <w:spacing w:before="186" w:after="0" w:line="240" w:lineRule="auto"/>
        <w:ind w:left="474" w:right="0" w:hanging="179"/>
        <w:jc w:val="left"/>
        <w:rPr>
          <w:sz w:val="18"/>
        </w:rPr>
      </w:pPr>
      <w:r>
        <w:rPr>
          <w:sz w:val="16"/>
        </w:rPr>
        <w:t xml:space="preserve">Proveďte </w:t>
      </w:r>
      <w:r>
        <w:rPr>
          <w:sz w:val="16"/>
        </w:rPr>
        <w:t xml:space="preserve">testy </w:t>
      </w:r>
      <w:r>
        <w:rPr>
          <w:sz w:val="16"/>
        </w:rPr>
        <w:t xml:space="preserve">vybití </w:t>
      </w:r>
      <w:r>
        <w:rPr>
          <w:sz w:val="16"/>
        </w:rPr>
        <w:t xml:space="preserve">a </w:t>
      </w:r>
      <w:r>
        <w:rPr>
          <w:sz w:val="16"/>
        </w:rPr>
        <w:t xml:space="preserve">nabití </w:t>
      </w:r>
      <w:r>
        <w:rPr>
          <w:sz w:val="16"/>
        </w:rPr>
        <w:t>baterie</w:t>
      </w:r>
      <w:r>
        <w:rPr>
          <w:sz w:val="16"/>
        </w:rPr>
        <w:t xml:space="preserve">, </w:t>
      </w:r>
      <w:r>
        <w:rPr>
          <w:sz w:val="16"/>
        </w:rPr>
        <w:t xml:space="preserve">abyste </w:t>
      </w:r>
      <w:r>
        <w:rPr>
          <w:sz w:val="16"/>
        </w:rPr>
        <w:t xml:space="preserve">se ujistili, </w:t>
      </w:r>
      <w:r>
        <w:rPr>
          <w:sz w:val="16"/>
        </w:rPr>
        <w:t xml:space="preserve">že </w:t>
      </w:r>
      <w:r>
        <w:rPr>
          <w:sz w:val="16"/>
        </w:rPr>
        <w:t xml:space="preserve">je </w:t>
      </w:r>
      <w:r>
        <w:rPr>
          <w:sz w:val="16"/>
        </w:rPr>
        <w:t xml:space="preserve">baterie </w:t>
      </w:r>
      <w:r>
        <w:rPr>
          <w:sz w:val="16"/>
        </w:rPr>
        <w:t xml:space="preserve">stále </w:t>
      </w:r>
      <w:r>
        <w:rPr>
          <w:spacing w:val="-2"/>
          <w:sz w:val="16"/>
        </w:rPr>
        <w:t>použitelná.</w:t>
      </w:r>
    </w:p>
    <w:p>
      <w:pPr>
        <w:pStyle w:val="ListParagraph"/>
        <w:numPr>
          <w:ilvl w:val="0"/>
          <w:numId w:val="10"/>
        </w:numPr>
        <w:tabs>
          <w:tab w:val="left" w:pos="474"/>
        </w:tabs>
        <w:spacing w:before="185" w:after="0" w:line="240" w:lineRule="auto"/>
        <w:ind w:left="474" w:right="0" w:hanging="179"/>
        <w:jc w:val="left"/>
        <w:rPr>
          <w:sz w:val="18"/>
        </w:rPr>
      </w:pPr>
      <w:r>
        <w:rPr>
          <w:sz w:val="16"/>
        </w:rPr>
        <w:t xml:space="preserve">Každé </w:t>
      </w:r>
      <w:r>
        <w:rPr>
          <w:sz w:val="16"/>
        </w:rPr>
        <w:t xml:space="preserve">tři </w:t>
      </w:r>
      <w:r>
        <w:rPr>
          <w:sz w:val="16"/>
        </w:rPr>
        <w:t xml:space="preserve">měsíce </w:t>
      </w:r>
      <w:r>
        <w:rPr>
          <w:sz w:val="16"/>
        </w:rPr>
        <w:t xml:space="preserve">proveďte </w:t>
      </w:r>
      <w:r>
        <w:rPr>
          <w:sz w:val="16"/>
        </w:rPr>
        <w:t xml:space="preserve">cyklus </w:t>
      </w:r>
      <w:r>
        <w:rPr>
          <w:sz w:val="16"/>
        </w:rPr>
        <w:t xml:space="preserve">nabíjení a vybíjení, </w:t>
      </w:r>
      <w:r>
        <w:rPr>
          <w:sz w:val="16"/>
        </w:rPr>
        <w:t xml:space="preserve">abyste </w:t>
      </w:r>
      <w:r>
        <w:rPr>
          <w:sz w:val="16"/>
        </w:rPr>
        <w:t xml:space="preserve">zajistili </w:t>
      </w:r>
      <w:r>
        <w:rPr>
          <w:spacing w:val="-2"/>
          <w:sz w:val="16"/>
        </w:rPr>
        <w:t xml:space="preserve">životnost </w:t>
      </w:r>
      <w:r>
        <w:rPr>
          <w:sz w:val="16"/>
        </w:rPr>
        <w:t>baterie</w:t>
      </w:r>
      <w:r>
        <w:rPr>
          <w:spacing w:val="-2"/>
          <w:sz w:val="16"/>
        </w:rPr>
        <w:t>.</w:t>
      </w:r>
    </w:p>
    <w:p>
      <w:pPr>
        <w:pStyle w:val="ListParagraph"/>
        <w:numPr>
          <w:ilvl w:val="0"/>
          <w:numId w:val="10"/>
        </w:numPr>
        <w:tabs>
          <w:tab w:val="left" w:pos="470"/>
        </w:tabs>
        <w:spacing w:before="184" w:after="0" w:line="273" w:lineRule="auto"/>
        <w:ind w:left="295" w:right="402" w:firstLine="0"/>
        <w:jc w:val="left"/>
        <w:rPr>
          <w:sz w:val="18"/>
        </w:rPr>
      </w:pPr>
      <w:r>
        <w:rPr>
          <w:sz w:val="16"/>
        </w:rPr>
        <w:t xml:space="preserve">Toto </w:t>
      </w:r>
      <w:r>
        <w:rPr>
          <w:sz w:val="16"/>
        </w:rPr>
        <w:t xml:space="preserve">zařízení </w:t>
      </w:r>
      <w:r>
        <w:rPr>
          <w:sz w:val="16"/>
        </w:rPr>
        <w:t xml:space="preserve">má </w:t>
      </w:r>
      <w:r>
        <w:rPr>
          <w:sz w:val="16"/>
        </w:rPr>
        <w:t xml:space="preserve">speciální </w:t>
      </w:r>
      <w:r>
        <w:rPr>
          <w:sz w:val="16"/>
        </w:rPr>
        <w:t xml:space="preserve">nabíječku </w:t>
      </w:r>
      <w:r>
        <w:rPr>
          <w:sz w:val="16"/>
        </w:rPr>
        <w:t>baterií</w:t>
      </w:r>
      <w:r>
        <w:rPr>
          <w:sz w:val="16"/>
        </w:rPr>
        <w:t xml:space="preserve">. </w:t>
      </w:r>
      <w:r>
        <w:rPr>
          <w:sz w:val="16"/>
        </w:rPr>
        <w:t xml:space="preserve">Při </w:t>
      </w:r>
      <w:r>
        <w:rPr>
          <w:sz w:val="16"/>
        </w:rPr>
        <w:t xml:space="preserve">používání </w:t>
      </w:r>
      <w:r>
        <w:rPr>
          <w:sz w:val="16"/>
        </w:rPr>
        <w:t xml:space="preserve">nabíječky </w:t>
      </w:r>
      <w:r>
        <w:rPr>
          <w:sz w:val="16"/>
        </w:rPr>
        <w:t xml:space="preserve">baterií </w:t>
      </w:r>
      <w:r>
        <w:rPr>
          <w:sz w:val="16"/>
        </w:rPr>
        <w:t>se ujistěte</w:t>
      </w:r>
      <w:r>
        <w:rPr>
          <w:sz w:val="16"/>
        </w:rPr>
        <w:t xml:space="preserve">, </w:t>
      </w:r>
      <w:r>
        <w:rPr>
          <w:sz w:val="16"/>
        </w:rPr>
        <w:t xml:space="preserve">že </w:t>
      </w:r>
      <w:r>
        <w:rPr>
          <w:sz w:val="16"/>
        </w:rPr>
        <w:t xml:space="preserve">se jedná o nabíječku dodanou naší společností. </w:t>
      </w:r>
      <w:r>
        <w:rPr>
          <w:sz w:val="16"/>
        </w:rPr>
        <w:t>Zvolená nabíječka musí splňovat požadavky normy IEC 60601-1.</w:t>
      </w:r>
    </w:p>
    <w:p>
      <w:pPr>
        <w:pStyle w:val="ListParagraph"/>
        <w:spacing w:after="0" w:line="273" w:lineRule="auto"/>
        <w:jc w:val="left"/>
        <w:rPr>
          <w:sz w:val="18"/>
        </w:rPr>
        <w:sectPr>
          <w:pgSz w:w="8390" w:h="11910"/>
          <w:pgMar w:top="660" w:right="425" w:bottom="540" w:left="425" w:header="0" w:footer="342"/>
          <w:cols w:space="708"/>
        </w:sectPr>
      </w:pPr>
    </w:p>
    <w:p>
      <w:pPr>
        <w:pStyle w:val="Heading1"/>
        <w:numPr>
          <w:ilvl w:val="1"/>
          <w:numId w:val="1"/>
        </w:numPr>
        <w:tabs>
          <w:tab w:val="left" w:pos="682"/>
        </w:tabs>
        <w:spacing w:before="72" w:after="0" w:line="240" w:lineRule="auto"/>
        <w:ind w:left="682" w:right="0" w:hanging="387"/>
        <w:jc w:val="left"/>
      </w:pPr>
      <w:bookmarkStart w:id="86" w:name="11.6 Recycling"/>
      <w:bookmarkEnd w:id="86"/>
      <w:bookmarkStart w:id="87" w:name="_bookmark43"/>
      <w:bookmarkEnd w:id="87"/>
      <w:r>
        <w:rPr>
          <w:spacing w:val="-2"/>
          <w:sz w:val="18"/>
        </w:rPr>
        <w:t>Recyklace</w:t>
      </w:r>
    </w:p>
    <w:p>
      <w:pPr>
        <w:spacing w:before="180" w:line="278" w:lineRule="auto"/>
        <w:ind w:left="295" w:right="291" w:firstLine="0"/>
        <w:jc w:val="both"/>
        <w:rPr>
          <w:b/>
          <w:sz w:val="18"/>
        </w:rPr>
      </w:pPr>
      <w:r>
        <w:rPr>
          <w:sz w:val="16"/>
        </w:rPr>
        <w:t xml:space="preserve">Zařízení a napájecí kabely, které překročily svou životnost, je třeba zlikvidovat. Další informace získáte od výrobce nebo prodejce </w:t>
      </w:r>
      <w:r>
        <w:rPr>
          <w:b/>
          <w:sz w:val="16"/>
        </w:rPr>
        <w:t xml:space="preserve">(životnost injekčních pump a napájecích </w:t>
      </w:r>
      <w:r>
        <w:rPr>
          <w:b/>
          <w:sz w:val="16"/>
        </w:rPr>
        <w:t>kabelů se může lišit v závislosti na frekvenci používání a údržbě).</w:t>
      </w:r>
    </w:p>
    <w:p>
      <w:pPr>
        <w:pStyle w:val="ListParagraph"/>
        <w:numPr>
          <w:ilvl w:val="0"/>
          <w:numId w:val="9"/>
        </w:numPr>
        <w:tabs>
          <w:tab w:val="left" w:pos="532"/>
        </w:tabs>
        <w:spacing w:before="155" w:after="0" w:line="278" w:lineRule="auto"/>
        <w:ind w:left="295" w:right="292" w:firstLine="0"/>
        <w:jc w:val="left"/>
        <w:rPr>
          <w:sz w:val="18"/>
        </w:rPr>
      </w:pPr>
      <w:r>
        <w:rPr>
          <w:sz w:val="16"/>
        </w:rPr>
        <w:t xml:space="preserve">Vyřazené </w:t>
      </w:r>
      <w:r>
        <w:rPr>
          <w:sz w:val="16"/>
        </w:rPr>
        <w:t xml:space="preserve">injekční </w:t>
      </w:r>
      <w:r>
        <w:rPr>
          <w:sz w:val="16"/>
        </w:rPr>
        <w:t xml:space="preserve">pumpy </w:t>
      </w:r>
      <w:r>
        <w:rPr>
          <w:sz w:val="16"/>
        </w:rPr>
        <w:t xml:space="preserve">a </w:t>
      </w:r>
      <w:r>
        <w:rPr>
          <w:sz w:val="16"/>
        </w:rPr>
        <w:t xml:space="preserve">napájecí </w:t>
      </w:r>
      <w:r>
        <w:rPr>
          <w:sz w:val="16"/>
        </w:rPr>
        <w:t xml:space="preserve">kabely </w:t>
      </w:r>
      <w:r>
        <w:rPr>
          <w:sz w:val="16"/>
        </w:rPr>
        <w:t xml:space="preserve">lze </w:t>
      </w:r>
      <w:r>
        <w:rPr>
          <w:sz w:val="16"/>
        </w:rPr>
        <w:t>vrát</w:t>
      </w:r>
      <w:r>
        <w:rPr>
          <w:sz w:val="16"/>
        </w:rPr>
        <w:t xml:space="preserve">it </w:t>
      </w:r>
      <w:r>
        <w:rPr>
          <w:sz w:val="16"/>
        </w:rPr>
        <w:t xml:space="preserve">původnímu </w:t>
      </w:r>
      <w:r>
        <w:rPr>
          <w:sz w:val="16"/>
        </w:rPr>
        <w:t xml:space="preserve">prodejci </w:t>
      </w:r>
      <w:r>
        <w:rPr>
          <w:sz w:val="16"/>
        </w:rPr>
        <w:t xml:space="preserve">nebo </w:t>
      </w:r>
      <w:r>
        <w:rPr>
          <w:spacing w:val="-2"/>
          <w:sz w:val="16"/>
        </w:rPr>
        <w:t>výrobci.</w:t>
      </w:r>
    </w:p>
    <w:p>
      <w:pPr>
        <w:pStyle w:val="ListParagraph"/>
        <w:numPr>
          <w:ilvl w:val="0"/>
          <w:numId w:val="9"/>
        </w:numPr>
        <w:tabs>
          <w:tab w:val="left" w:pos="491"/>
        </w:tabs>
        <w:spacing w:before="156" w:after="0" w:line="278" w:lineRule="auto"/>
        <w:ind w:left="295" w:right="294" w:firstLine="0"/>
        <w:jc w:val="left"/>
        <w:rPr>
          <w:sz w:val="18"/>
        </w:rPr>
      </w:pPr>
      <w:r>
        <w:rPr>
          <w:sz w:val="16"/>
        </w:rPr>
        <w:t>Použité lithium-polymerové baterie by měly být zlikvidovány stejným způsobem nebo v souladu s platnými zákony a předpisy.</w:t>
      </w:r>
    </w:p>
    <w:p>
      <w:pPr>
        <w:pStyle w:val="BodyText"/>
        <w:spacing w:before="0"/>
        <w:ind w:left="0"/>
      </w:pPr>
    </w:p>
    <w:p>
      <w:pPr>
        <w:pStyle w:val="BodyText"/>
        <w:spacing w:before="30"/>
        <w:ind w:left="0"/>
      </w:pPr>
    </w:p>
    <w:p>
      <w:pPr>
        <w:pStyle w:val="Heading1"/>
        <w:numPr>
          <w:ilvl w:val="0"/>
          <w:numId w:val="1"/>
        </w:numPr>
        <w:tabs>
          <w:tab w:val="left" w:pos="543"/>
        </w:tabs>
        <w:spacing w:before="1" w:after="0" w:line="240" w:lineRule="auto"/>
        <w:ind w:left="543" w:right="0" w:hanging="248"/>
        <w:jc w:val="both"/>
      </w:pPr>
      <w:bookmarkStart w:id="88" w:name="12.Transportation and Storage"/>
      <w:bookmarkEnd w:id="88"/>
      <w:bookmarkStart w:id="89" w:name="_bookmark44"/>
      <w:bookmarkEnd w:id="89"/>
      <w:r>
        <w:rPr>
          <w:sz w:val="18"/>
        </w:rPr>
        <w:t xml:space="preserve">Přeprava </w:t>
      </w:r>
      <w:r>
        <w:rPr>
          <w:sz w:val="18"/>
        </w:rPr>
        <w:t xml:space="preserve">a </w:t>
      </w:r>
      <w:r>
        <w:rPr>
          <w:spacing w:val="-2"/>
          <w:sz w:val="18"/>
        </w:rPr>
        <w:t>skladování</w:t>
      </w:r>
    </w:p>
    <w:p>
      <w:pPr>
        <w:pStyle w:val="Heading1"/>
        <w:numPr>
          <w:ilvl w:val="1"/>
          <w:numId w:val="1"/>
        </w:numPr>
        <w:tabs>
          <w:tab w:val="left" w:pos="689"/>
        </w:tabs>
        <w:spacing w:before="94" w:after="0" w:line="240" w:lineRule="auto"/>
        <w:ind w:left="689" w:right="0" w:hanging="394"/>
        <w:jc w:val="left"/>
      </w:pPr>
      <w:bookmarkStart w:id="90" w:name="12.1 Transportation Precautions"/>
      <w:bookmarkEnd w:id="90"/>
      <w:bookmarkStart w:id="91" w:name="_bookmark45"/>
      <w:bookmarkEnd w:id="91"/>
      <w:r>
        <w:rPr>
          <w:spacing w:val="-2"/>
          <w:sz w:val="18"/>
        </w:rPr>
        <w:t xml:space="preserve">Bezpečnostní opatření </w:t>
      </w:r>
      <w:r>
        <w:rPr>
          <w:spacing w:val="-2"/>
          <w:sz w:val="18"/>
        </w:rPr>
        <w:t>při přepravě</w:t>
      </w:r>
    </w:p>
    <w:p>
      <w:pPr>
        <w:pStyle w:val="ListParagraph"/>
        <w:numPr>
          <w:ilvl w:val="0"/>
          <w:numId w:val="8"/>
        </w:numPr>
        <w:tabs>
          <w:tab w:val="left" w:pos="474"/>
        </w:tabs>
        <w:spacing w:before="179" w:after="0" w:line="240" w:lineRule="auto"/>
        <w:ind w:left="474" w:right="0" w:hanging="179"/>
        <w:jc w:val="left"/>
        <w:rPr>
          <w:sz w:val="18"/>
        </w:rPr>
      </w:pPr>
      <w:r>
        <w:rPr>
          <w:sz w:val="16"/>
        </w:rPr>
        <w:t xml:space="preserve">Krabice </w:t>
      </w:r>
      <w:r>
        <w:rPr>
          <w:sz w:val="16"/>
        </w:rPr>
        <w:t xml:space="preserve">skládejte </w:t>
      </w:r>
      <w:r>
        <w:rPr>
          <w:sz w:val="16"/>
        </w:rPr>
        <w:t xml:space="preserve">podle </w:t>
      </w:r>
      <w:r>
        <w:rPr>
          <w:spacing w:val="-2"/>
          <w:sz w:val="16"/>
        </w:rPr>
        <w:t>pokynů.</w:t>
      </w:r>
    </w:p>
    <w:p>
      <w:pPr>
        <w:pStyle w:val="ListParagraph"/>
        <w:numPr>
          <w:ilvl w:val="0"/>
          <w:numId w:val="8"/>
        </w:numPr>
        <w:tabs>
          <w:tab w:val="left" w:pos="470"/>
        </w:tabs>
        <w:spacing w:before="189" w:after="0" w:line="240" w:lineRule="auto"/>
        <w:ind w:left="470" w:right="0" w:hanging="175"/>
        <w:jc w:val="left"/>
        <w:rPr>
          <w:sz w:val="18"/>
        </w:rPr>
      </w:pPr>
      <w:r>
        <w:rPr>
          <w:sz w:val="16"/>
        </w:rPr>
        <w:t xml:space="preserve">Teplotní </w:t>
      </w:r>
      <w:r>
        <w:rPr>
          <w:sz w:val="16"/>
        </w:rPr>
        <w:t xml:space="preserve">rozsah: </w:t>
      </w:r>
      <w:r>
        <w:rPr>
          <w:sz w:val="16"/>
        </w:rPr>
        <w:t xml:space="preserve">-30 °C </w:t>
      </w:r>
      <w:r>
        <w:rPr>
          <w:sz w:val="16"/>
        </w:rPr>
        <w:t xml:space="preserve">až </w:t>
      </w:r>
      <w:r>
        <w:rPr>
          <w:spacing w:val="-4"/>
          <w:sz w:val="16"/>
        </w:rPr>
        <w:t>+70 °C.</w:t>
      </w:r>
    </w:p>
    <w:p>
      <w:pPr>
        <w:pStyle w:val="ListParagraph"/>
        <w:numPr>
          <w:ilvl w:val="0"/>
          <w:numId w:val="8"/>
        </w:numPr>
        <w:tabs>
          <w:tab w:val="left" w:pos="474"/>
        </w:tabs>
        <w:spacing w:before="189" w:after="0" w:line="240" w:lineRule="auto"/>
        <w:ind w:left="474" w:right="0" w:hanging="179"/>
        <w:jc w:val="left"/>
        <w:rPr>
          <w:sz w:val="18"/>
        </w:rPr>
      </w:pPr>
      <w:r>
        <w:rPr>
          <w:sz w:val="16"/>
        </w:rPr>
        <w:t xml:space="preserve">Relativní </w:t>
      </w:r>
      <w:r>
        <w:rPr>
          <w:sz w:val="16"/>
        </w:rPr>
        <w:t>vlhkost:</w:t>
      </w:r>
      <w:r>
        <w:rPr>
          <w:sz w:val="16"/>
        </w:rPr>
        <w:t xml:space="preserve"> 10 </w:t>
      </w:r>
      <w:r>
        <w:rPr>
          <w:sz w:val="16"/>
        </w:rPr>
        <w:t>až</w:t>
      </w:r>
      <w:r>
        <w:rPr>
          <w:sz w:val="16"/>
        </w:rPr>
        <w:t xml:space="preserve"> 95 % </w:t>
      </w:r>
      <w:r>
        <w:rPr>
          <w:sz w:val="16"/>
        </w:rPr>
        <w:t>(</w:t>
      </w:r>
      <w:r>
        <w:rPr>
          <w:spacing w:val="-2"/>
          <w:sz w:val="16"/>
        </w:rPr>
        <w:t>bez kondenzace).</w:t>
      </w:r>
    </w:p>
    <w:p>
      <w:pPr>
        <w:pStyle w:val="ListParagraph"/>
        <w:numPr>
          <w:ilvl w:val="0"/>
          <w:numId w:val="8"/>
        </w:numPr>
        <w:tabs>
          <w:tab w:val="left" w:pos="465"/>
        </w:tabs>
        <w:spacing w:before="190" w:after="0" w:line="240" w:lineRule="auto"/>
        <w:ind w:left="465" w:right="0" w:hanging="170"/>
        <w:jc w:val="left"/>
        <w:rPr>
          <w:sz w:val="18"/>
        </w:rPr>
      </w:pPr>
      <w:r>
        <w:rPr>
          <w:sz w:val="16"/>
        </w:rPr>
        <w:t xml:space="preserve">Atmosférický </w:t>
      </w:r>
      <w:r>
        <w:rPr>
          <w:sz w:val="16"/>
        </w:rPr>
        <w:t>tlak:</w:t>
      </w:r>
      <w:r>
        <w:rPr>
          <w:sz w:val="16"/>
        </w:rPr>
        <w:t xml:space="preserve"> 50,0 kPa </w:t>
      </w:r>
      <w:r>
        <w:rPr>
          <w:sz w:val="16"/>
        </w:rPr>
        <w:t>až</w:t>
      </w:r>
      <w:r>
        <w:rPr>
          <w:spacing w:val="-2"/>
          <w:sz w:val="16"/>
        </w:rPr>
        <w:t xml:space="preserve"> 106,0 kPa.</w:t>
      </w:r>
    </w:p>
    <w:p>
      <w:pPr>
        <w:pStyle w:val="BodyText"/>
        <w:spacing w:before="114"/>
        <w:ind w:left="0"/>
      </w:pPr>
    </w:p>
    <w:p>
      <w:pPr>
        <w:pStyle w:val="Heading1"/>
        <w:numPr>
          <w:ilvl w:val="1"/>
          <w:numId w:val="1"/>
        </w:numPr>
        <w:tabs>
          <w:tab w:val="left" w:pos="694"/>
        </w:tabs>
        <w:spacing w:before="0" w:after="0" w:line="240" w:lineRule="auto"/>
        <w:ind w:left="694" w:right="0" w:hanging="399"/>
        <w:jc w:val="left"/>
      </w:pPr>
      <w:bookmarkStart w:id="92" w:name="12.2 Storage Conditions"/>
      <w:bookmarkEnd w:id="92"/>
      <w:bookmarkStart w:id="93" w:name="_bookmark46"/>
      <w:bookmarkEnd w:id="93"/>
      <w:r>
        <w:rPr>
          <w:sz w:val="18"/>
        </w:rPr>
        <w:t xml:space="preserve">Skladovací </w:t>
      </w:r>
      <w:r>
        <w:rPr>
          <w:spacing w:val="-2"/>
          <w:sz w:val="18"/>
        </w:rPr>
        <w:t>podmínky</w:t>
      </w:r>
    </w:p>
    <w:p>
      <w:pPr>
        <w:pStyle w:val="ListParagraph"/>
        <w:numPr>
          <w:ilvl w:val="0"/>
          <w:numId w:val="7"/>
        </w:numPr>
        <w:tabs>
          <w:tab w:val="left" w:pos="474"/>
        </w:tabs>
        <w:spacing w:before="180" w:after="0" w:line="240" w:lineRule="auto"/>
        <w:ind w:left="474" w:right="0" w:hanging="179"/>
        <w:jc w:val="left"/>
        <w:rPr>
          <w:sz w:val="18"/>
        </w:rPr>
      </w:pPr>
      <w:r>
        <w:rPr>
          <w:sz w:val="16"/>
        </w:rPr>
        <w:t xml:space="preserve">Skladovací </w:t>
      </w:r>
      <w:r>
        <w:rPr>
          <w:sz w:val="16"/>
        </w:rPr>
        <w:t xml:space="preserve">teplota: </w:t>
      </w:r>
      <w:r>
        <w:rPr>
          <w:sz w:val="16"/>
        </w:rPr>
        <w:t xml:space="preserve">-30 °C </w:t>
      </w:r>
      <w:r>
        <w:rPr>
          <w:sz w:val="16"/>
        </w:rPr>
        <w:t xml:space="preserve">až </w:t>
      </w:r>
      <w:r>
        <w:rPr>
          <w:spacing w:val="-2"/>
          <w:sz w:val="16"/>
        </w:rPr>
        <w:t>+70 °C.</w:t>
      </w:r>
    </w:p>
    <w:p>
      <w:pPr>
        <w:pStyle w:val="ListParagraph"/>
        <w:numPr>
          <w:ilvl w:val="0"/>
          <w:numId w:val="7"/>
        </w:numPr>
        <w:tabs>
          <w:tab w:val="left" w:pos="474"/>
        </w:tabs>
        <w:spacing w:before="189" w:after="0" w:line="240" w:lineRule="auto"/>
        <w:ind w:left="474" w:right="0" w:hanging="179"/>
        <w:jc w:val="left"/>
        <w:rPr>
          <w:sz w:val="18"/>
        </w:rPr>
      </w:pPr>
      <w:r>
        <w:rPr>
          <w:sz w:val="16"/>
        </w:rPr>
        <w:t xml:space="preserve">Relativní </w:t>
      </w:r>
      <w:r>
        <w:rPr>
          <w:sz w:val="16"/>
        </w:rPr>
        <w:t>vlhkost:</w:t>
      </w:r>
      <w:r>
        <w:rPr>
          <w:sz w:val="16"/>
        </w:rPr>
        <w:t xml:space="preserve"> 10 </w:t>
      </w:r>
      <w:r>
        <w:rPr>
          <w:sz w:val="16"/>
        </w:rPr>
        <w:t>až</w:t>
      </w:r>
      <w:r>
        <w:rPr>
          <w:sz w:val="16"/>
        </w:rPr>
        <w:t xml:space="preserve"> 95 % </w:t>
      </w:r>
      <w:r>
        <w:rPr>
          <w:sz w:val="16"/>
        </w:rPr>
        <w:t>(</w:t>
      </w:r>
      <w:r>
        <w:rPr>
          <w:spacing w:val="-2"/>
          <w:sz w:val="16"/>
        </w:rPr>
        <w:t>bez kondenzace).</w:t>
      </w:r>
    </w:p>
    <w:p>
      <w:pPr>
        <w:pStyle w:val="ListParagraph"/>
        <w:numPr>
          <w:ilvl w:val="0"/>
          <w:numId w:val="7"/>
        </w:numPr>
        <w:tabs>
          <w:tab w:val="left" w:pos="465"/>
        </w:tabs>
        <w:spacing w:before="189" w:after="0" w:line="240" w:lineRule="auto"/>
        <w:ind w:left="465" w:right="0" w:hanging="170"/>
        <w:jc w:val="left"/>
        <w:rPr>
          <w:sz w:val="18"/>
        </w:rPr>
      </w:pPr>
      <w:r>
        <w:rPr>
          <w:sz w:val="16"/>
        </w:rPr>
        <w:t xml:space="preserve">Atmosférický </w:t>
      </w:r>
      <w:r>
        <w:rPr>
          <w:sz w:val="16"/>
        </w:rPr>
        <w:t>tlak:</w:t>
      </w:r>
      <w:r>
        <w:rPr>
          <w:sz w:val="16"/>
        </w:rPr>
        <w:t xml:space="preserve"> 50,0 kPa </w:t>
      </w:r>
      <w:r>
        <w:rPr>
          <w:sz w:val="16"/>
        </w:rPr>
        <w:t>až</w:t>
      </w:r>
      <w:r>
        <w:rPr>
          <w:spacing w:val="-2"/>
          <w:sz w:val="16"/>
        </w:rPr>
        <w:t xml:space="preserve"> 106,0 kPa.</w:t>
      </w:r>
    </w:p>
    <w:p>
      <w:pPr>
        <w:pStyle w:val="BodyText"/>
        <w:spacing w:before="0"/>
        <w:ind w:left="0"/>
      </w:pPr>
    </w:p>
    <w:p>
      <w:pPr>
        <w:pStyle w:val="BodyText"/>
        <w:spacing w:before="63"/>
        <w:ind w:left="0"/>
      </w:pPr>
    </w:p>
    <w:p>
      <w:pPr>
        <w:pStyle w:val="Heading1"/>
        <w:numPr>
          <w:ilvl w:val="0"/>
          <w:numId w:val="1"/>
        </w:numPr>
        <w:tabs>
          <w:tab w:val="left" w:pos="543"/>
        </w:tabs>
        <w:spacing w:before="1" w:after="0" w:line="240" w:lineRule="auto"/>
        <w:ind w:left="543" w:right="0" w:hanging="248"/>
        <w:jc w:val="both"/>
      </w:pPr>
      <w:bookmarkStart w:id="94" w:name="13.Packing List"/>
      <w:bookmarkEnd w:id="94"/>
      <w:bookmarkStart w:id="95" w:name="_bookmark47"/>
      <w:bookmarkEnd w:id="95"/>
      <w:r>
        <w:rPr>
          <w:spacing w:val="-4"/>
          <w:sz w:val="18"/>
        </w:rPr>
        <w:t xml:space="preserve">Seznam </w:t>
      </w:r>
      <w:r>
        <w:rPr>
          <w:sz w:val="18"/>
        </w:rPr>
        <w:t>obsahu balení</w:t>
      </w:r>
    </w:p>
    <w:p>
      <w:pPr>
        <w:pStyle w:val="Heading1"/>
        <w:numPr>
          <w:ilvl w:val="1"/>
          <w:numId w:val="1"/>
        </w:numPr>
        <w:tabs>
          <w:tab w:val="left" w:pos="694"/>
        </w:tabs>
        <w:spacing w:before="94" w:after="0" w:line="240" w:lineRule="auto"/>
        <w:ind w:left="694" w:right="0" w:hanging="399"/>
        <w:jc w:val="left"/>
      </w:pPr>
      <w:bookmarkStart w:id="96" w:name="13.1 Standard Configuration Inside the P"/>
      <w:bookmarkEnd w:id="96"/>
      <w:bookmarkStart w:id="97" w:name="_bookmark48"/>
      <w:bookmarkEnd w:id="97"/>
      <w:r>
        <w:rPr>
          <w:sz w:val="18"/>
        </w:rPr>
        <w:t xml:space="preserve">Standardní </w:t>
      </w:r>
      <w:r>
        <w:rPr>
          <w:sz w:val="18"/>
        </w:rPr>
        <w:t xml:space="preserve">konfigurace </w:t>
      </w:r>
      <w:r>
        <w:rPr>
          <w:sz w:val="18"/>
        </w:rPr>
        <w:t xml:space="preserve">uvnitř </w:t>
      </w:r>
      <w:r>
        <w:rPr>
          <w:spacing w:val="-5"/>
          <w:sz w:val="18"/>
        </w:rPr>
        <w:t>balení</w:t>
      </w:r>
    </w:p>
    <w:p>
      <w:pPr>
        <w:pStyle w:val="ListParagraph"/>
        <w:numPr>
          <w:ilvl w:val="0"/>
          <w:numId w:val="6"/>
        </w:numPr>
        <w:tabs>
          <w:tab w:val="left" w:pos="562"/>
        </w:tabs>
        <w:spacing w:before="177" w:after="0" w:line="240" w:lineRule="auto"/>
        <w:ind w:left="562" w:right="0" w:hanging="179"/>
        <w:jc w:val="left"/>
        <w:rPr>
          <w:sz w:val="18"/>
        </w:rPr>
      </w:pPr>
      <w:r>
        <w:rPr>
          <w:sz w:val="16"/>
        </w:rPr>
        <w:t xml:space="preserve">Injekční </w:t>
      </w:r>
      <w:r>
        <w:rPr>
          <w:sz w:val="16"/>
        </w:rPr>
        <w:t>pumpa:</w:t>
      </w:r>
      <w:r>
        <w:rPr>
          <w:sz w:val="16"/>
        </w:rPr>
        <w:t xml:space="preserve"> 1 </w:t>
      </w:r>
      <w:r>
        <w:rPr>
          <w:spacing w:val="-4"/>
          <w:sz w:val="16"/>
        </w:rPr>
        <w:t>kus</w:t>
      </w:r>
    </w:p>
    <w:p>
      <w:pPr>
        <w:pStyle w:val="ListParagraph"/>
        <w:numPr>
          <w:ilvl w:val="0"/>
          <w:numId w:val="6"/>
        </w:numPr>
        <w:tabs>
          <w:tab w:val="left" w:pos="562"/>
        </w:tabs>
        <w:spacing w:before="189" w:after="0" w:line="240" w:lineRule="auto"/>
        <w:ind w:left="562" w:right="0" w:hanging="179"/>
        <w:jc w:val="left"/>
        <w:rPr>
          <w:sz w:val="18"/>
        </w:rPr>
      </w:pPr>
      <w:r>
        <w:rPr>
          <w:sz w:val="16"/>
        </w:rPr>
        <w:t xml:space="preserve">Napájecí </w:t>
      </w:r>
      <w:r>
        <w:rPr>
          <w:sz w:val="16"/>
        </w:rPr>
        <w:t>kabel:</w:t>
      </w:r>
      <w:r>
        <w:rPr>
          <w:sz w:val="16"/>
        </w:rPr>
        <w:t xml:space="preserve"> 1 </w:t>
      </w:r>
      <w:r>
        <w:rPr>
          <w:spacing w:val="-2"/>
          <w:sz w:val="16"/>
        </w:rPr>
        <w:t>kus</w:t>
      </w:r>
    </w:p>
    <w:p>
      <w:pPr>
        <w:pStyle w:val="ListParagraph"/>
        <w:numPr>
          <w:ilvl w:val="0"/>
          <w:numId w:val="6"/>
        </w:numPr>
        <w:tabs>
          <w:tab w:val="left" w:pos="562"/>
        </w:tabs>
        <w:spacing w:before="189" w:after="0" w:line="240" w:lineRule="auto"/>
        <w:ind w:left="562" w:right="0" w:hanging="179"/>
        <w:jc w:val="left"/>
        <w:rPr>
          <w:sz w:val="18"/>
        </w:rPr>
      </w:pPr>
      <w:r>
        <w:rPr>
          <w:sz w:val="16"/>
        </w:rPr>
        <w:t>Návod k použití:</w:t>
      </w:r>
      <w:r>
        <w:rPr>
          <w:sz w:val="16"/>
        </w:rPr>
        <w:t xml:space="preserve"> 1 </w:t>
      </w:r>
      <w:r>
        <w:rPr>
          <w:spacing w:val="-4"/>
          <w:sz w:val="16"/>
        </w:rPr>
        <w:t>výtisk</w:t>
      </w:r>
    </w:p>
    <w:p>
      <w:pPr>
        <w:pStyle w:val="ListParagraph"/>
        <w:numPr>
          <w:ilvl w:val="0"/>
          <w:numId w:val="6"/>
        </w:numPr>
        <w:tabs>
          <w:tab w:val="left" w:pos="562"/>
        </w:tabs>
        <w:spacing w:before="189" w:after="0" w:line="240" w:lineRule="auto"/>
        <w:ind w:left="562" w:right="0" w:hanging="179"/>
        <w:jc w:val="left"/>
        <w:rPr>
          <w:sz w:val="18"/>
        </w:rPr>
      </w:pPr>
      <w:r>
        <w:rPr>
          <w:sz w:val="16"/>
        </w:rPr>
        <w:t xml:space="preserve">Certifikát </w:t>
      </w:r>
      <w:r>
        <w:rPr>
          <w:sz w:val="16"/>
        </w:rPr>
        <w:t xml:space="preserve">o kvalifikaci </w:t>
      </w:r>
      <w:r>
        <w:rPr>
          <w:sz w:val="16"/>
        </w:rPr>
        <w:t>produktu</w:t>
      </w:r>
      <w:r>
        <w:rPr>
          <w:sz w:val="16"/>
        </w:rPr>
        <w:t>:</w:t>
      </w:r>
      <w:r>
        <w:rPr>
          <w:sz w:val="16"/>
        </w:rPr>
        <w:t xml:space="preserve"> 1 </w:t>
      </w:r>
      <w:r>
        <w:rPr>
          <w:spacing w:val="-4"/>
          <w:sz w:val="16"/>
        </w:rPr>
        <w:t>kus</w:t>
      </w:r>
    </w:p>
    <w:p>
      <w:pPr>
        <w:pStyle w:val="ListParagraph"/>
        <w:numPr>
          <w:ilvl w:val="0"/>
          <w:numId w:val="6"/>
        </w:numPr>
        <w:tabs>
          <w:tab w:val="left" w:pos="562"/>
        </w:tabs>
        <w:spacing w:before="189" w:after="0" w:line="240" w:lineRule="auto"/>
        <w:ind w:left="562" w:right="0" w:hanging="179"/>
        <w:jc w:val="left"/>
        <w:rPr>
          <w:sz w:val="18"/>
        </w:rPr>
      </w:pPr>
      <w:r>
        <w:rPr>
          <w:sz w:val="16"/>
        </w:rPr>
        <w:t xml:space="preserve">Záruční </w:t>
      </w:r>
      <w:r>
        <w:rPr>
          <w:sz w:val="16"/>
        </w:rPr>
        <w:t xml:space="preserve">list </w:t>
      </w:r>
      <w:r>
        <w:rPr>
          <w:sz w:val="16"/>
        </w:rPr>
        <w:t>produktu</w:t>
      </w:r>
      <w:r>
        <w:rPr>
          <w:sz w:val="16"/>
        </w:rPr>
        <w:t>:</w:t>
      </w:r>
      <w:r>
        <w:rPr>
          <w:sz w:val="16"/>
        </w:rPr>
        <w:t xml:space="preserve"> 1 </w:t>
      </w:r>
      <w:r>
        <w:rPr>
          <w:spacing w:val="-4"/>
          <w:sz w:val="16"/>
        </w:rPr>
        <w:t>kus</w:t>
      </w:r>
    </w:p>
    <w:p>
      <w:pPr>
        <w:pStyle w:val="ListParagraph"/>
        <w:numPr>
          <w:ilvl w:val="0"/>
          <w:numId w:val="6"/>
        </w:numPr>
        <w:tabs>
          <w:tab w:val="left" w:pos="562"/>
        </w:tabs>
        <w:spacing w:before="189" w:after="0" w:line="240" w:lineRule="auto"/>
        <w:ind w:left="562" w:right="0" w:hanging="179"/>
        <w:jc w:val="left"/>
        <w:rPr>
          <w:sz w:val="18"/>
        </w:rPr>
      </w:pPr>
      <w:r>
        <w:rPr>
          <w:sz w:val="16"/>
        </w:rPr>
        <w:t xml:space="preserve">Karta </w:t>
      </w:r>
      <w:r>
        <w:rPr>
          <w:sz w:val="16"/>
        </w:rPr>
        <w:t xml:space="preserve">rychlého </w:t>
      </w:r>
      <w:r>
        <w:rPr>
          <w:sz w:val="16"/>
        </w:rPr>
        <w:t>ovládání</w:t>
      </w:r>
      <w:r>
        <w:rPr>
          <w:sz w:val="16"/>
        </w:rPr>
        <w:t>:</w:t>
      </w:r>
      <w:r>
        <w:rPr>
          <w:sz w:val="16"/>
        </w:rPr>
        <w:t xml:space="preserve"> 1 </w:t>
      </w:r>
      <w:r>
        <w:rPr>
          <w:spacing w:val="-4"/>
          <w:sz w:val="16"/>
        </w:rPr>
        <w:t>kus</w:t>
      </w:r>
    </w:p>
    <w:p>
      <w:pPr>
        <w:pStyle w:val="ListParagraph"/>
        <w:spacing w:after="0" w:line="240" w:lineRule="auto"/>
        <w:jc w:val="left"/>
        <w:rPr>
          <w:sz w:val="18"/>
        </w:rPr>
        <w:sectPr>
          <w:pgSz w:w="8390" w:h="11910"/>
          <w:pgMar w:top="640" w:right="425" w:bottom="540" w:left="425" w:header="0" w:footer="342"/>
          <w:cols w:space="708"/>
        </w:sectPr>
      </w:pPr>
    </w:p>
    <w:p>
      <w:pPr>
        <w:pStyle w:val="Heading1"/>
        <w:numPr>
          <w:ilvl w:val="1"/>
          <w:numId w:val="1"/>
        </w:numPr>
        <w:tabs>
          <w:tab w:val="left" w:pos="682"/>
        </w:tabs>
        <w:spacing w:before="72" w:after="0" w:line="240" w:lineRule="auto"/>
        <w:ind w:left="682" w:right="0" w:hanging="387"/>
        <w:jc w:val="left"/>
      </w:pPr>
      <w:bookmarkStart w:id="98" w:name="13.2 Accessory List"/>
      <w:bookmarkEnd w:id="98"/>
      <w:bookmarkStart w:id="99" w:name="_bookmark49"/>
      <w:bookmarkEnd w:id="99"/>
      <w:r>
        <w:rPr>
          <w:spacing w:val="-4"/>
          <w:sz w:val="18"/>
        </w:rPr>
        <w:t xml:space="preserve">Seznam </w:t>
      </w:r>
      <w:r>
        <w:rPr>
          <w:sz w:val="18"/>
        </w:rPr>
        <w:t>příslušenství</w:t>
      </w:r>
    </w:p>
    <w:p>
      <w:pPr>
        <w:pStyle w:val="BodyText"/>
        <w:spacing w:before="117" w:line="278" w:lineRule="auto"/>
        <w:ind w:right="353"/>
      </w:pPr>
      <w:r>
        <w:rPr>
          <w:sz w:val="16"/>
        </w:rPr>
        <w:t xml:space="preserve">Pro tuto injekční pumpu používejte pouze příslušenství a </w:t>
      </w:r>
      <w:r>
        <w:rPr>
          <w:sz w:val="16"/>
        </w:rPr>
        <w:t>injekční</w:t>
      </w:r>
      <w:r>
        <w:rPr>
          <w:sz w:val="16"/>
        </w:rPr>
        <w:t xml:space="preserve"> stříkačky určené výrobcem. Použití jiného </w:t>
      </w:r>
      <w:r>
        <w:rPr>
          <w:sz w:val="16"/>
        </w:rPr>
        <w:t xml:space="preserve">příslušenství </w:t>
      </w:r>
      <w:r>
        <w:rPr>
          <w:sz w:val="16"/>
        </w:rPr>
        <w:t xml:space="preserve">může </w:t>
      </w:r>
      <w:r>
        <w:rPr>
          <w:sz w:val="16"/>
        </w:rPr>
        <w:t>injekční</w:t>
      </w:r>
      <w:r>
        <w:rPr>
          <w:sz w:val="16"/>
        </w:rPr>
        <w:t xml:space="preserve"> </w:t>
      </w:r>
      <w:r>
        <w:rPr>
          <w:sz w:val="16"/>
        </w:rPr>
        <w:t xml:space="preserve">pumpu </w:t>
      </w:r>
      <w:r>
        <w:rPr>
          <w:sz w:val="16"/>
        </w:rPr>
        <w:t xml:space="preserve">poškodit </w:t>
      </w:r>
      <w:r>
        <w:rPr>
          <w:sz w:val="16"/>
        </w:rPr>
        <w:t xml:space="preserve">nebo </w:t>
      </w:r>
      <w:r>
        <w:rPr>
          <w:sz w:val="16"/>
        </w:rPr>
        <w:t xml:space="preserve">znemožnit </w:t>
      </w:r>
      <w:r>
        <w:rPr>
          <w:sz w:val="16"/>
        </w:rPr>
        <w:t xml:space="preserve">dosažení </w:t>
      </w:r>
      <w:r>
        <w:rPr>
          <w:sz w:val="16"/>
        </w:rPr>
        <w:t xml:space="preserve">specifikací </w:t>
      </w:r>
      <w:r>
        <w:rPr>
          <w:sz w:val="16"/>
        </w:rPr>
        <w:t xml:space="preserve">uvedených </w:t>
      </w:r>
      <w:r>
        <w:rPr>
          <w:sz w:val="16"/>
        </w:rPr>
        <w:t>v tomto manuálu. Použití nespecifického příslušenství může vést k tomu, že zařízení nebude rozpoznáno, k problémům s přesností nebo k poruchám alarmu.</w:t>
      </w:r>
    </w:p>
    <w:p>
      <w:pPr>
        <w:pStyle w:val="BodyText"/>
        <w:spacing w:before="0"/>
        <w:ind w:left="0"/>
      </w:pPr>
    </w:p>
    <w:p>
      <w:pPr>
        <w:pStyle w:val="BodyText"/>
        <w:spacing w:before="30"/>
        <w:ind w:left="0"/>
      </w:pPr>
    </w:p>
    <w:p>
      <w:pPr>
        <w:pStyle w:val="Heading1"/>
        <w:numPr>
          <w:ilvl w:val="0"/>
          <w:numId w:val="1"/>
        </w:numPr>
        <w:tabs>
          <w:tab w:val="left" w:pos="543"/>
        </w:tabs>
        <w:spacing w:before="0" w:after="0" w:line="240" w:lineRule="auto"/>
        <w:ind w:left="543" w:right="0" w:hanging="248"/>
        <w:jc w:val="left"/>
      </w:pPr>
      <w:bookmarkStart w:id="100" w:name="14.Unboxing Inspection"/>
      <w:bookmarkEnd w:id="100"/>
      <w:bookmarkStart w:id="101" w:name="_bookmark50"/>
      <w:bookmarkEnd w:id="101"/>
      <w:r>
        <w:rPr>
          <w:spacing w:val="-2"/>
          <w:sz w:val="18"/>
        </w:rPr>
        <w:t xml:space="preserve">Kontrola </w:t>
      </w:r>
      <w:r>
        <w:rPr>
          <w:sz w:val="18"/>
        </w:rPr>
        <w:t>po vybalení</w:t>
      </w:r>
    </w:p>
    <w:p>
      <w:pPr>
        <w:pStyle w:val="BodyText"/>
        <w:spacing w:before="118"/>
      </w:pPr>
      <w:r>
        <w:rPr>
          <w:spacing w:val="-2"/>
          <w:sz w:val="16"/>
        </w:rPr>
        <w:t xml:space="preserve">Bezpečnostní opatření </w:t>
      </w:r>
      <w:r>
        <w:rPr>
          <w:sz w:val="16"/>
        </w:rPr>
        <w:t>při vybalování</w:t>
      </w:r>
    </w:p>
    <w:p>
      <w:pPr>
        <w:pStyle w:val="ListParagraph"/>
        <w:numPr>
          <w:ilvl w:val="0"/>
          <w:numId w:val="5"/>
        </w:numPr>
        <w:tabs>
          <w:tab w:val="left" w:pos="474"/>
        </w:tabs>
        <w:spacing w:before="127" w:after="0" w:line="240" w:lineRule="auto"/>
        <w:ind w:left="474" w:right="0" w:hanging="179"/>
        <w:jc w:val="left"/>
        <w:rPr>
          <w:sz w:val="18"/>
        </w:rPr>
      </w:pPr>
      <w:r>
        <w:rPr>
          <w:sz w:val="16"/>
        </w:rPr>
        <w:t xml:space="preserve">Při vybalování postupujte </w:t>
      </w:r>
      <w:r>
        <w:rPr>
          <w:sz w:val="16"/>
        </w:rPr>
        <w:t xml:space="preserve">opatrně, </w:t>
      </w:r>
      <w:r>
        <w:rPr>
          <w:sz w:val="16"/>
        </w:rPr>
        <w:t xml:space="preserve">aby </w:t>
      </w:r>
      <w:r>
        <w:rPr>
          <w:sz w:val="16"/>
        </w:rPr>
        <w:t xml:space="preserve">nedošlo k </w:t>
      </w:r>
      <w:r>
        <w:rPr>
          <w:sz w:val="16"/>
        </w:rPr>
        <w:t xml:space="preserve">poškození </w:t>
      </w:r>
      <w:r>
        <w:rPr>
          <w:sz w:val="16"/>
        </w:rPr>
        <w:t xml:space="preserve">injekční </w:t>
      </w:r>
      <w:r>
        <w:rPr>
          <w:sz w:val="16"/>
        </w:rPr>
        <w:t xml:space="preserve">pumpy </w:t>
      </w:r>
      <w:r>
        <w:rPr>
          <w:sz w:val="16"/>
        </w:rPr>
        <w:t xml:space="preserve">a </w:t>
      </w:r>
      <w:r>
        <w:rPr>
          <w:sz w:val="16"/>
        </w:rPr>
        <w:t xml:space="preserve">jejího </w:t>
      </w:r>
      <w:r>
        <w:rPr>
          <w:spacing w:val="-2"/>
          <w:sz w:val="16"/>
        </w:rPr>
        <w:t>příslušenství.</w:t>
      </w:r>
    </w:p>
    <w:p>
      <w:pPr>
        <w:pStyle w:val="ListParagraph"/>
        <w:numPr>
          <w:ilvl w:val="0"/>
          <w:numId w:val="5"/>
        </w:numPr>
        <w:tabs>
          <w:tab w:val="left" w:pos="474"/>
        </w:tabs>
        <w:spacing w:before="126" w:after="0" w:line="240" w:lineRule="auto"/>
        <w:ind w:left="474" w:right="0" w:hanging="179"/>
        <w:jc w:val="left"/>
        <w:rPr>
          <w:sz w:val="18"/>
        </w:rPr>
      </w:pPr>
      <w:r>
        <w:rPr>
          <w:sz w:val="16"/>
        </w:rPr>
        <w:t xml:space="preserve">S </w:t>
      </w:r>
      <w:r>
        <w:rPr>
          <w:sz w:val="16"/>
        </w:rPr>
        <w:t xml:space="preserve">vnitřním obsahem </w:t>
      </w:r>
      <w:r>
        <w:rPr>
          <w:sz w:val="16"/>
        </w:rPr>
        <w:t xml:space="preserve">zacházejte </w:t>
      </w:r>
      <w:r>
        <w:rPr>
          <w:spacing w:val="-2"/>
          <w:sz w:val="16"/>
        </w:rPr>
        <w:t>opatrně.</w:t>
      </w:r>
    </w:p>
    <w:p>
      <w:pPr>
        <w:pStyle w:val="ListParagraph"/>
        <w:numPr>
          <w:ilvl w:val="0"/>
          <w:numId w:val="5"/>
        </w:numPr>
        <w:tabs>
          <w:tab w:val="left" w:pos="465"/>
        </w:tabs>
        <w:spacing w:before="129" w:after="0" w:line="240" w:lineRule="auto"/>
        <w:ind w:left="465" w:right="0" w:hanging="170"/>
        <w:jc w:val="left"/>
        <w:rPr>
          <w:sz w:val="18"/>
        </w:rPr>
      </w:pPr>
      <w:r>
        <w:rPr>
          <w:sz w:val="16"/>
        </w:rPr>
        <w:t xml:space="preserve">Po </w:t>
      </w:r>
      <w:r>
        <w:rPr>
          <w:sz w:val="16"/>
        </w:rPr>
        <w:t xml:space="preserve">vybalení </w:t>
      </w:r>
      <w:r>
        <w:rPr>
          <w:sz w:val="16"/>
        </w:rPr>
        <w:t>si</w:t>
      </w:r>
      <w:r>
        <w:rPr>
          <w:sz w:val="16"/>
        </w:rPr>
        <w:t xml:space="preserve"> </w:t>
      </w:r>
      <w:r>
        <w:rPr>
          <w:sz w:val="16"/>
        </w:rPr>
        <w:t xml:space="preserve">uschovejte </w:t>
      </w:r>
      <w:r>
        <w:rPr>
          <w:sz w:val="16"/>
        </w:rPr>
        <w:t xml:space="preserve">příslušenství, </w:t>
      </w:r>
      <w:r>
        <w:rPr>
          <w:sz w:val="16"/>
        </w:rPr>
        <w:t xml:space="preserve">záruční </w:t>
      </w:r>
      <w:r>
        <w:rPr>
          <w:sz w:val="16"/>
        </w:rPr>
        <w:t xml:space="preserve">list </w:t>
      </w:r>
      <w:r>
        <w:rPr>
          <w:sz w:val="16"/>
        </w:rPr>
        <w:t xml:space="preserve">a </w:t>
      </w:r>
      <w:r>
        <w:rPr>
          <w:spacing w:val="-2"/>
          <w:sz w:val="16"/>
        </w:rPr>
        <w:t>návod k použití.</w:t>
      </w:r>
    </w:p>
    <w:p>
      <w:pPr>
        <w:pStyle w:val="ListParagraph"/>
        <w:numPr>
          <w:ilvl w:val="0"/>
          <w:numId w:val="5"/>
        </w:numPr>
        <w:tabs>
          <w:tab w:val="left" w:pos="474"/>
        </w:tabs>
        <w:spacing w:before="127" w:after="0" w:line="240" w:lineRule="auto"/>
        <w:ind w:left="474" w:right="0" w:hanging="179"/>
        <w:jc w:val="left"/>
        <w:rPr>
          <w:sz w:val="18"/>
        </w:rPr>
      </w:pPr>
      <w:r>
        <w:rPr>
          <w:sz w:val="16"/>
        </w:rPr>
        <w:t xml:space="preserve">Část </w:t>
      </w:r>
      <w:r>
        <w:rPr>
          <w:sz w:val="16"/>
        </w:rPr>
        <w:t xml:space="preserve">obalu </w:t>
      </w:r>
      <w:r>
        <w:rPr>
          <w:sz w:val="16"/>
        </w:rPr>
        <w:t xml:space="preserve">si ponechte </w:t>
      </w:r>
      <w:r>
        <w:rPr>
          <w:sz w:val="16"/>
        </w:rPr>
        <w:t xml:space="preserve">pro </w:t>
      </w:r>
      <w:r>
        <w:rPr>
          <w:sz w:val="16"/>
        </w:rPr>
        <w:t xml:space="preserve">přepravu </w:t>
      </w:r>
      <w:r>
        <w:rPr>
          <w:sz w:val="16"/>
        </w:rPr>
        <w:t xml:space="preserve">injekční </w:t>
      </w:r>
      <w:r>
        <w:rPr>
          <w:spacing w:val="-4"/>
          <w:sz w:val="16"/>
        </w:rPr>
        <w:t>pumpy.</w:t>
      </w:r>
    </w:p>
    <w:p>
      <w:pPr>
        <w:pStyle w:val="ListParagraph"/>
        <w:numPr>
          <w:ilvl w:val="0"/>
          <w:numId w:val="5"/>
        </w:numPr>
        <w:tabs>
          <w:tab w:val="left" w:pos="474"/>
        </w:tabs>
        <w:spacing w:before="126" w:after="0" w:line="278" w:lineRule="auto"/>
        <w:ind w:left="295" w:right="925" w:firstLine="0"/>
        <w:jc w:val="left"/>
        <w:rPr>
          <w:sz w:val="18"/>
        </w:rPr>
      </w:pPr>
      <w:r>
        <w:rPr>
          <w:sz w:val="16"/>
        </w:rPr>
        <w:t xml:space="preserve">Pokud </w:t>
      </w:r>
      <w:r>
        <w:rPr>
          <w:sz w:val="16"/>
        </w:rPr>
        <w:t xml:space="preserve">po </w:t>
      </w:r>
      <w:r>
        <w:rPr>
          <w:sz w:val="16"/>
        </w:rPr>
        <w:t xml:space="preserve">rozbalení </w:t>
      </w:r>
      <w:r>
        <w:rPr>
          <w:sz w:val="16"/>
        </w:rPr>
        <w:t>zjistíte</w:t>
      </w:r>
      <w:r>
        <w:rPr>
          <w:sz w:val="16"/>
        </w:rPr>
        <w:t>,</w:t>
      </w:r>
      <w:r>
        <w:rPr>
          <w:sz w:val="16"/>
        </w:rPr>
        <w:t xml:space="preserve"> že </w:t>
      </w:r>
      <w:r>
        <w:rPr>
          <w:sz w:val="16"/>
        </w:rPr>
        <w:t xml:space="preserve">některé </w:t>
      </w:r>
      <w:r>
        <w:rPr>
          <w:sz w:val="16"/>
        </w:rPr>
        <w:t xml:space="preserve">příslušenství </w:t>
      </w:r>
      <w:r>
        <w:rPr>
          <w:sz w:val="16"/>
        </w:rPr>
        <w:t xml:space="preserve">chybí </w:t>
      </w:r>
      <w:r>
        <w:rPr>
          <w:sz w:val="16"/>
        </w:rPr>
        <w:t xml:space="preserve">nebo </w:t>
      </w:r>
      <w:r>
        <w:rPr>
          <w:sz w:val="16"/>
        </w:rPr>
        <w:t>je poškozené</w:t>
      </w:r>
      <w:r>
        <w:rPr>
          <w:sz w:val="16"/>
        </w:rPr>
        <w:t xml:space="preserve">, </w:t>
      </w:r>
      <w:r>
        <w:rPr>
          <w:spacing w:val="-2"/>
          <w:sz w:val="16"/>
        </w:rPr>
        <w:t xml:space="preserve">okamžitě </w:t>
      </w:r>
      <w:r>
        <w:rPr>
          <w:sz w:val="16"/>
        </w:rPr>
        <w:t xml:space="preserve">kontaktujte </w:t>
      </w:r>
      <w:r>
        <w:rPr>
          <w:sz w:val="16"/>
        </w:rPr>
        <w:t xml:space="preserve">místo </w:t>
      </w:r>
      <w:r>
        <w:rPr>
          <w:sz w:val="16"/>
        </w:rPr>
        <w:t>nákupu</w:t>
      </w:r>
      <w:r>
        <w:rPr>
          <w:spacing w:val="-2"/>
          <w:sz w:val="16"/>
        </w:rPr>
        <w:t>.</w:t>
      </w:r>
    </w:p>
    <w:p>
      <w:pPr>
        <w:pStyle w:val="BodyText"/>
        <w:spacing w:before="0"/>
        <w:ind w:left="0"/>
      </w:pPr>
    </w:p>
    <w:p>
      <w:pPr>
        <w:pStyle w:val="BodyText"/>
        <w:spacing w:before="31"/>
        <w:ind w:left="0"/>
      </w:pPr>
    </w:p>
    <w:p>
      <w:pPr>
        <w:pStyle w:val="Heading1"/>
        <w:numPr>
          <w:ilvl w:val="0"/>
          <w:numId w:val="1"/>
        </w:numPr>
        <w:tabs>
          <w:tab w:val="left" w:pos="543"/>
        </w:tabs>
        <w:spacing w:before="0" w:after="0" w:line="240" w:lineRule="auto"/>
        <w:ind w:left="543" w:right="0" w:hanging="248"/>
        <w:jc w:val="left"/>
      </w:pPr>
      <w:bookmarkStart w:id="102" w:name="15.After-sales Service"/>
      <w:bookmarkEnd w:id="102"/>
      <w:bookmarkStart w:id="103" w:name="_bookmark51"/>
      <w:bookmarkEnd w:id="103"/>
      <w:r>
        <w:rPr>
          <w:sz w:val="18"/>
        </w:rPr>
        <w:t xml:space="preserve">Poprodejní </w:t>
      </w:r>
      <w:r>
        <w:rPr>
          <w:spacing w:val="-2"/>
          <w:sz w:val="18"/>
        </w:rPr>
        <w:t>servis</w:t>
      </w:r>
    </w:p>
    <w:p>
      <w:pPr>
        <w:pStyle w:val="BodyText"/>
        <w:spacing w:before="117"/>
      </w:pPr>
      <w:r>
        <w:rPr>
          <w:sz w:val="16"/>
        </w:rPr>
        <w:t xml:space="preserve">Na tento </w:t>
      </w:r>
      <w:r>
        <w:rPr>
          <w:sz w:val="16"/>
        </w:rPr>
        <w:t xml:space="preserve">produkt </w:t>
      </w:r>
      <w:r>
        <w:rPr>
          <w:sz w:val="16"/>
        </w:rPr>
        <w:t xml:space="preserve">se vztahuje </w:t>
      </w:r>
      <w:r>
        <w:rPr>
          <w:sz w:val="16"/>
        </w:rPr>
        <w:t xml:space="preserve">jednoletá bezplatná záruka </w:t>
      </w:r>
      <w:r>
        <w:rPr>
          <w:spacing w:val="-2"/>
          <w:sz w:val="16"/>
        </w:rPr>
        <w:t>po zakoupení.</w:t>
      </w:r>
    </w:p>
    <w:p>
      <w:pPr>
        <w:pStyle w:val="BodyText"/>
        <w:spacing w:before="127"/>
      </w:pPr>
      <w:r>
        <w:rPr>
          <w:sz w:val="16"/>
        </w:rPr>
        <w:t xml:space="preserve">Poznámka: </w:t>
      </w:r>
      <w:r>
        <w:rPr>
          <w:sz w:val="16"/>
        </w:rPr>
        <w:t xml:space="preserve">Bezplatná </w:t>
      </w:r>
      <w:r>
        <w:rPr>
          <w:spacing w:val="-2"/>
          <w:sz w:val="16"/>
        </w:rPr>
        <w:t xml:space="preserve">záruka </w:t>
      </w:r>
      <w:r>
        <w:rPr>
          <w:sz w:val="16"/>
        </w:rPr>
        <w:t xml:space="preserve">se </w:t>
      </w:r>
      <w:r>
        <w:rPr>
          <w:sz w:val="16"/>
        </w:rPr>
        <w:t xml:space="preserve">nevztahuje </w:t>
      </w:r>
      <w:r>
        <w:rPr>
          <w:sz w:val="16"/>
        </w:rPr>
        <w:t xml:space="preserve">na </w:t>
      </w:r>
      <w:r>
        <w:rPr>
          <w:sz w:val="16"/>
        </w:rPr>
        <w:t xml:space="preserve">poškození </w:t>
      </w:r>
      <w:r>
        <w:rPr>
          <w:sz w:val="16"/>
        </w:rPr>
        <w:t xml:space="preserve">zařízení </w:t>
      </w:r>
      <w:r>
        <w:rPr>
          <w:sz w:val="16"/>
        </w:rPr>
        <w:t>způsoben</w:t>
      </w:r>
      <w:r>
        <w:rPr>
          <w:sz w:val="16"/>
        </w:rPr>
        <w:t xml:space="preserve">é </w:t>
      </w:r>
      <w:r>
        <w:rPr>
          <w:sz w:val="16"/>
        </w:rPr>
        <w:t xml:space="preserve">následujícími </w:t>
      </w:r>
      <w:r>
        <w:rPr>
          <w:sz w:val="16"/>
        </w:rPr>
        <w:t>situacemi</w:t>
      </w:r>
      <w:r>
        <w:rPr>
          <w:spacing w:val="-2"/>
          <w:sz w:val="16"/>
        </w:rPr>
        <w:t>:</w:t>
      </w:r>
    </w:p>
    <w:p>
      <w:pPr>
        <w:pStyle w:val="ListParagraph"/>
        <w:numPr>
          <w:ilvl w:val="0"/>
          <w:numId w:val="4"/>
        </w:numPr>
        <w:tabs>
          <w:tab w:val="left" w:pos="474"/>
        </w:tabs>
        <w:spacing w:before="126" w:after="0" w:line="240" w:lineRule="auto"/>
        <w:ind w:left="474" w:right="0" w:hanging="179"/>
        <w:jc w:val="left"/>
        <w:rPr>
          <w:sz w:val="18"/>
        </w:rPr>
      </w:pPr>
      <w:r>
        <w:rPr>
          <w:sz w:val="16"/>
        </w:rPr>
        <w:t xml:space="preserve">Poruchy </w:t>
      </w:r>
      <w:r>
        <w:rPr>
          <w:sz w:val="16"/>
        </w:rPr>
        <w:t>způsoben</w:t>
      </w:r>
      <w:r>
        <w:rPr>
          <w:sz w:val="16"/>
        </w:rPr>
        <w:t xml:space="preserve">é </w:t>
      </w:r>
      <w:r>
        <w:rPr>
          <w:sz w:val="16"/>
        </w:rPr>
        <w:t xml:space="preserve">nesprávným </w:t>
      </w:r>
      <w:r>
        <w:rPr>
          <w:sz w:val="16"/>
        </w:rPr>
        <w:t xml:space="preserve">používáním, </w:t>
      </w:r>
      <w:r>
        <w:rPr>
          <w:sz w:val="16"/>
        </w:rPr>
        <w:t xml:space="preserve">neoprávněnými </w:t>
      </w:r>
      <w:r>
        <w:rPr>
          <w:sz w:val="16"/>
        </w:rPr>
        <w:t xml:space="preserve">úpravami </w:t>
      </w:r>
      <w:r>
        <w:rPr>
          <w:sz w:val="16"/>
        </w:rPr>
        <w:t xml:space="preserve">nebo </w:t>
      </w:r>
      <w:r>
        <w:rPr>
          <w:spacing w:val="-2"/>
          <w:sz w:val="16"/>
        </w:rPr>
        <w:t>opravami.</w:t>
      </w:r>
    </w:p>
    <w:p>
      <w:pPr>
        <w:pStyle w:val="ListParagraph"/>
        <w:numPr>
          <w:ilvl w:val="0"/>
          <w:numId w:val="4"/>
        </w:numPr>
        <w:tabs>
          <w:tab w:val="left" w:pos="474"/>
        </w:tabs>
        <w:spacing w:before="127" w:after="0" w:line="240" w:lineRule="auto"/>
        <w:ind w:left="474" w:right="0" w:hanging="179"/>
        <w:jc w:val="left"/>
        <w:rPr>
          <w:sz w:val="18"/>
        </w:rPr>
      </w:pPr>
      <w:r>
        <w:rPr>
          <w:sz w:val="16"/>
        </w:rPr>
        <w:t xml:space="preserve">Poškození </w:t>
      </w:r>
      <w:r>
        <w:rPr>
          <w:sz w:val="16"/>
        </w:rPr>
        <w:t xml:space="preserve">způsobené </w:t>
      </w:r>
      <w:r>
        <w:rPr>
          <w:sz w:val="16"/>
        </w:rPr>
        <w:t xml:space="preserve">během </w:t>
      </w:r>
      <w:r>
        <w:rPr>
          <w:sz w:val="16"/>
        </w:rPr>
        <w:t xml:space="preserve">přepravy </w:t>
      </w:r>
      <w:r>
        <w:rPr>
          <w:sz w:val="16"/>
        </w:rPr>
        <w:t xml:space="preserve">v důsledku </w:t>
      </w:r>
      <w:r>
        <w:rPr>
          <w:sz w:val="16"/>
        </w:rPr>
        <w:t xml:space="preserve">nesprávné </w:t>
      </w:r>
      <w:r>
        <w:rPr>
          <w:sz w:val="16"/>
        </w:rPr>
        <w:t xml:space="preserve">manipulace </w:t>
      </w:r>
      <w:r>
        <w:rPr>
          <w:sz w:val="16"/>
        </w:rPr>
        <w:t xml:space="preserve">po </w:t>
      </w:r>
      <w:r>
        <w:rPr>
          <w:spacing w:val="-2"/>
          <w:sz w:val="16"/>
        </w:rPr>
        <w:t>zakoupení.</w:t>
      </w:r>
    </w:p>
    <w:p>
      <w:pPr>
        <w:pStyle w:val="ListParagraph"/>
        <w:numPr>
          <w:ilvl w:val="0"/>
          <w:numId w:val="4"/>
        </w:numPr>
        <w:tabs>
          <w:tab w:val="left" w:pos="508"/>
        </w:tabs>
        <w:spacing w:before="129" w:after="0" w:line="278" w:lineRule="auto"/>
        <w:ind w:left="295" w:right="293" w:firstLine="0"/>
        <w:jc w:val="left"/>
        <w:rPr>
          <w:sz w:val="18"/>
        </w:rPr>
      </w:pPr>
      <w:r>
        <w:rPr>
          <w:sz w:val="16"/>
        </w:rPr>
        <w:t xml:space="preserve">Poškození </w:t>
      </w:r>
      <w:r>
        <w:rPr>
          <w:sz w:val="16"/>
        </w:rPr>
        <w:t xml:space="preserve">nebo </w:t>
      </w:r>
      <w:r>
        <w:rPr>
          <w:sz w:val="16"/>
        </w:rPr>
        <w:t xml:space="preserve">závady </w:t>
      </w:r>
      <w:r>
        <w:rPr>
          <w:sz w:val="16"/>
        </w:rPr>
        <w:t xml:space="preserve">způsobené </w:t>
      </w:r>
      <w:r>
        <w:rPr>
          <w:sz w:val="16"/>
        </w:rPr>
        <w:t xml:space="preserve">požárem, </w:t>
      </w:r>
      <w:r>
        <w:rPr>
          <w:sz w:val="16"/>
        </w:rPr>
        <w:t xml:space="preserve">solí, </w:t>
      </w:r>
      <w:r>
        <w:rPr>
          <w:sz w:val="16"/>
        </w:rPr>
        <w:t xml:space="preserve">toxickými </w:t>
      </w:r>
      <w:r>
        <w:rPr>
          <w:sz w:val="16"/>
        </w:rPr>
        <w:t xml:space="preserve">plyny, </w:t>
      </w:r>
      <w:r>
        <w:rPr>
          <w:sz w:val="16"/>
        </w:rPr>
        <w:t xml:space="preserve">zemětřesením, </w:t>
      </w:r>
      <w:r>
        <w:rPr>
          <w:sz w:val="16"/>
        </w:rPr>
        <w:t xml:space="preserve">tajfuny, </w:t>
      </w:r>
      <w:r>
        <w:rPr>
          <w:sz w:val="16"/>
        </w:rPr>
        <w:t>povodněmi, abnormálním napětím a jinými přírodními katastrofami.</w:t>
      </w:r>
    </w:p>
    <w:p>
      <w:pPr>
        <w:pStyle w:val="BodyText"/>
        <w:spacing w:before="94" w:line="278" w:lineRule="auto"/>
      </w:pPr>
      <w:r>
        <w:rPr>
          <w:sz w:val="16"/>
        </w:rPr>
        <w:t>V případě poškození nebo závad vzniklých za výše uvedených okolností může společnost nabídnout opravárenské služby, ale bude účtovat poplatek na základě nákladů na opravu.</w:t>
      </w:r>
    </w:p>
    <w:p>
      <w:pPr>
        <w:pStyle w:val="BodyText"/>
        <w:spacing w:after="0" w:line="278" w:lineRule="auto"/>
        <w:sectPr>
          <w:pgSz w:w="8390" w:h="11910"/>
          <w:pgMar w:top="640" w:right="425" w:bottom="540" w:left="425" w:header="0" w:footer="342"/>
          <w:cols w:space="708"/>
        </w:sectPr>
      </w:pPr>
    </w:p>
    <w:p>
      <w:pPr>
        <w:pStyle w:val="Heading1"/>
        <w:spacing w:before="72"/>
        <w:ind w:left="295" w:firstLine="0"/>
      </w:pPr>
      <w:bookmarkStart w:id="104" w:name="Appendix I"/>
      <w:bookmarkEnd w:id="104"/>
      <w:bookmarkStart w:id="105" w:name="_bookmark52"/>
      <w:bookmarkEnd w:id="105"/>
      <w:r>
        <w:rPr>
          <w:sz w:val="18"/>
        </w:rPr>
        <w:t xml:space="preserve">Příloha </w:t>
      </w:r>
      <w:r>
        <w:rPr>
          <w:spacing w:val="-10"/>
          <w:sz w:val="18"/>
        </w:rPr>
        <w:t>I</w:t>
      </w:r>
    </w:p>
    <w:p>
      <w:pPr>
        <w:pStyle w:val="Heading1"/>
        <w:spacing w:before="63"/>
        <w:ind w:left="295" w:firstLine="0"/>
      </w:pPr>
      <w:bookmarkStart w:id="106" w:name="Table 1 Alarm Classification and Alarm L"/>
      <w:bookmarkEnd w:id="106"/>
      <w:bookmarkStart w:id="107" w:name="_bookmark53"/>
      <w:bookmarkEnd w:id="107"/>
      <w:r>
        <w:rPr>
          <w:sz w:val="18"/>
        </w:rPr>
        <w:t>Tabulka</w:t>
      </w:r>
      <w:r>
        <w:rPr>
          <w:sz w:val="18"/>
        </w:rPr>
        <w:t xml:space="preserve"> 1 </w:t>
      </w:r>
      <w:r>
        <w:rPr>
          <w:sz w:val="18"/>
        </w:rPr>
        <w:t xml:space="preserve">Klasifikace </w:t>
      </w:r>
      <w:r>
        <w:rPr>
          <w:sz w:val="18"/>
        </w:rPr>
        <w:t xml:space="preserve">alarmů </w:t>
      </w:r>
      <w:r>
        <w:rPr>
          <w:sz w:val="18"/>
        </w:rPr>
        <w:t xml:space="preserve">a </w:t>
      </w:r>
      <w:r>
        <w:rPr>
          <w:spacing w:val="-4"/>
          <w:sz w:val="18"/>
        </w:rPr>
        <w:t xml:space="preserve">barva </w:t>
      </w:r>
      <w:r>
        <w:rPr>
          <w:sz w:val="18"/>
        </w:rPr>
        <w:t xml:space="preserve">kontrolky </w:t>
      </w:r>
      <w:r>
        <w:rPr>
          <w:sz w:val="18"/>
        </w:rPr>
        <w:t>alarmu</w:t>
      </w:r>
    </w:p>
    <w:p>
      <w:pPr>
        <w:pStyle w:val="BodyText"/>
        <w:spacing w:before="2"/>
        <w:ind w:left="0"/>
        <w:rPr>
          <w:b/>
          <w:sz w:val="8"/>
        </w:rPr>
      </w:pPr>
    </w:p>
    <w:tbl>
      <w:tblPr>
        <w:tblStyle w:val="TableNormal"/>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9"/>
        <w:gridCol w:w="1696"/>
        <w:gridCol w:w="1862"/>
        <w:gridCol w:w="2496"/>
      </w:tblGrid>
      <w:tr>
        <w:tblPrEx>
          <w:tblW w:w="0" w:type="auto"/>
          <w:tblInd w:w="308" w:type="dxa"/>
          <w:tblLayout w:type="fixed"/>
          <w:tblLook w:val="01E0"/>
        </w:tblPrEx>
        <w:trPr>
          <w:trHeight w:val="344"/>
        </w:trPr>
        <w:tc>
          <w:tcPr>
            <w:tcW w:w="2575" w:type="dxa"/>
            <w:gridSpan w:val="2"/>
            <w:shd w:val="clear" w:color="auto" w:fill="DBEDF3"/>
          </w:tcPr>
          <w:p>
            <w:pPr>
              <w:pStyle w:val="TableParagraph"/>
              <w:spacing w:before="68"/>
              <w:ind w:left="538"/>
              <w:rPr>
                <w:sz w:val="18"/>
              </w:rPr>
            </w:pPr>
            <w:r>
              <w:rPr>
                <w:spacing w:val="-2"/>
                <w:sz w:val="16"/>
              </w:rPr>
              <w:t xml:space="preserve">Klasifikace </w:t>
            </w:r>
            <w:r>
              <w:rPr>
                <w:sz w:val="16"/>
              </w:rPr>
              <w:t>alarmů</w:t>
            </w:r>
          </w:p>
        </w:tc>
        <w:tc>
          <w:tcPr>
            <w:tcW w:w="1862" w:type="dxa"/>
            <w:shd w:val="clear" w:color="auto" w:fill="DBEDF3"/>
          </w:tcPr>
          <w:p>
            <w:pPr>
              <w:pStyle w:val="TableParagraph"/>
              <w:spacing w:before="68"/>
              <w:ind w:left="9" w:right="4"/>
              <w:jc w:val="center"/>
              <w:rPr>
                <w:sz w:val="18"/>
              </w:rPr>
            </w:pPr>
            <w:r>
              <w:rPr>
                <w:spacing w:val="-4"/>
                <w:sz w:val="16"/>
              </w:rPr>
              <w:t xml:space="preserve">Úroveň </w:t>
            </w:r>
            <w:r>
              <w:rPr>
                <w:sz w:val="16"/>
              </w:rPr>
              <w:t xml:space="preserve">priority </w:t>
            </w:r>
            <w:r>
              <w:rPr>
                <w:sz w:val="16"/>
              </w:rPr>
              <w:t>alarmu</w:t>
            </w:r>
          </w:p>
        </w:tc>
        <w:tc>
          <w:tcPr>
            <w:tcW w:w="2496" w:type="dxa"/>
            <w:shd w:val="clear" w:color="auto" w:fill="DBEDF3"/>
          </w:tcPr>
          <w:p>
            <w:pPr>
              <w:pStyle w:val="TableParagraph"/>
              <w:spacing w:before="68"/>
              <w:ind w:left="7"/>
              <w:jc w:val="center"/>
              <w:rPr>
                <w:sz w:val="18"/>
              </w:rPr>
            </w:pPr>
            <w:r>
              <w:rPr>
                <w:spacing w:val="-2"/>
                <w:sz w:val="16"/>
              </w:rPr>
              <w:t xml:space="preserve">Barva/frekvence </w:t>
            </w:r>
            <w:r>
              <w:rPr>
                <w:sz w:val="16"/>
              </w:rPr>
              <w:t xml:space="preserve">kontrolky </w:t>
            </w:r>
            <w:r>
              <w:rPr>
                <w:sz w:val="16"/>
              </w:rPr>
              <w:t>alarmu</w:t>
            </w:r>
          </w:p>
        </w:tc>
      </w:tr>
      <w:tr>
        <w:tblPrEx>
          <w:tblW w:w="0" w:type="auto"/>
          <w:tblInd w:w="308" w:type="dxa"/>
          <w:tblLayout w:type="fixed"/>
          <w:tblLook w:val="01E0"/>
        </w:tblPrEx>
        <w:trPr>
          <w:trHeight w:val="783"/>
        </w:trPr>
        <w:tc>
          <w:tcPr>
            <w:tcW w:w="879"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5"/>
              <w:rPr>
                <w:b/>
                <w:sz w:val="18"/>
              </w:rPr>
            </w:pPr>
          </w:p>
          <w:p>
            <w:pPr>
              <w:pStyle w:val="TableParagraph"/>
              <w:spacing w:before="1" w:line="254" w:lineRule="auto"/>
              <w:ind w:left="138" w:right="128" w:hanging="1"/>
              <w:jc w:val="center"/>
              <w:rPr>
                <w:sz w:val="18"/>
              </w:rPr>
            </w:pPr>
            <w:r>
              <w:rPr>
                <w:spacing w:val="-2"/>
                <w:sz w:val="16"/>
              </w:rPr>
              <w:t>Porucha zařízení</w:t>
            </w:r>
          </w:p>
        </w:tc>
        <w:tc>
          <w:tcPr>
            <w:tcW w:w="1696" w:type="dxa"/>
          </w:tcPr>
          <w:p>
            <w:pPr>
              <w:pStyle w:val="TableParagraph"/>
              <w:spacing w:before="70" w:line="254" w:lineRule="auto"/>
              <w:ind w:left="267" w:right="256" w:hanging="1"/>
              <w:jc w:val="center"/>
              <w:rPr>
                <w:sz w:val="18"/>
              </w:rPr>
            </w:pPr>
            <w:r>
              <w:rPr>
                <w:spacing w:val="-2"/>
                <w:sz w:val="16"/>
              </w:rPr>
              <w:t xml:space="preserve">Chyba </w:t>
            </w:r>
            <w:r>
              <w:rPr>
                <w:spacing w:val="-4"/>
                <w:sz w:val="16"/>
              </w:rPr>
              <w:t xml:space="preserve">datové </w:t>
            </w:r>
            <w:r>
              <w:rPr>
                <w:spacing w:val="-2"/>
                <w:sz w:val="16"/>
              </w:rPr>
              <w:t>komunikace (0xE0)</w:t>
            </w:r>
          </w:p>
        </w:tc>
        <w:tc>
          <w:tcPr>
            <w:tcW w:w="1862" w:type="dxa"/>
          </w:tcPr>
          <w:p>
            <w:pPr>
              <w:pStyle w:val="TableParagraph"/>
              <w:spacing w:before="81"/>
              <w:rPr>
                <w:b/>
                <w:sz w:val="18"/>
              </w:rPr>
            </w:pPr>
          </w:p>
          <w:p>
            <w:pPr>
              <w:pStyle w:val="TableParagraph"/>
              <w:ind w:left="9"/>
              <w:jc w:val="center"/>
              <w:rPr>
                <w:sz w:val="18"/>
              </w:rPr>
            </w:pPr>
            <w:r>
              <w:rPr>
                <w:sz w:val="16"/>
              </w:rPr>
              <w:t xml:space="preserve">Vysoká </w:t>
            </w:r>
            <w:r>
              <w:rPr>
                <w:spacing w:val="-2"/>
                <w:sz w:val="16"/>
              </w:rPr>
              <w:t>priorita</w:t>
            </w:r>
          </w:p>
        </w:tc>
        <w:tc>
          <w:tcPr>
            <w:tcW w:w="2496" w:type="dxa"/>
          </w:tcPr>
          <w:p>
            <w:pPr>
              <w:pStyle w:val="TableParagraph"/>
              <w:spacing w:before="81"/>
              <w:rPr>
                <w:b/>
                <w:sz w:val="18"/>
              </w:rPr>
            </w:pPr>
          </w:p>
          <w:p>
            <w:pPr>
              <w:pStyle w:val="TableParagraph"/>
              <w:ind w:left="7"/>
              <w:jc w:val="center"/>
              <w:rPr>
                <w:sz w:val="18"/>
              </w:rPr>
            </w:pPr>
            <w:r>
              <w:rPr>
                <w:sz w:val="16"/>
              </w:rPr>
              <w:t xml:space="preserve">Červená </w:t>
            </w:r>
            <w:r>
              <w:rPr>
                <w:spacing w:val="-2"/>
                <w:sz w:val="16"/>
              </w:rPr>
              <w:t>kontrolka/2 Hz</w:t>
            </w:r>
          </w:p>
        </w:tc>
      </w:tr>
      <w:tr>
        <w:tblPrEx>
          <w:tblW w:w="0" w:type="auto"/>
          <w:tblInd w:w="308" w:type="dxa"/>
          <w:tblLayout w:type="fixed"/>
          <w:tblLook w:val="01E0"/>
        </w:tblPrEx>
        <w:trPr>
          <w:trHeight w:val="563"/>
        </w:trPr>
        <w:tc>
          <w:tcPr>
            <w:tcW w:w="879" w:type="dxa"/>
            <w:vMerge/>
            <w:tcBorders>
              <w:top w:val="nil"/>
            </w:tcBorders>
          </w:tcPr>
          <w:p>
            <w:pPr>
              <w:rPr>
                <w:sz w:val="2"/>
                <w:szCs w:val="2"/>
              </w:rPr>
            </w:pPr>
          </w:p>
        </w:tc>
        <w:tc>
          <w:tcPr>
            <w:tcW w:w="1696" w:type="dxa"/>
          </w:tcPr>
          <w:p>
            <w:pPr>
              <w:pStyle w:val="TableParagraph"/>
              <w:spacing w:before="68" w:line="256" w:lineRule="auto"/>
              <w:ind w:left="413" w:hanging="216"/>
              <w:rPr>
                <w:sz w:val="18"/>
              </w:rPr>
            </w:pPr>
            <w:r>
              <w:rPr>
                <w:spacing w:val="-2"/>
                <w:sz w:val="16"/>
              </w:rPr>
              <w:t xml:space="preserve">Porucha </w:t>
            </w:r>
            <w:r>
              <w:rPr>
                <w:spacing w:val="-2"/>
                <w:sz w:val="16"/>
              </w:rPr>
              <w:t xml:space="preserve">přenosové </w:t>
            </w:r>
            <w:r>
              <w:rPr>
                <w:spacing w:val="-2"/>
                <w:sz w:val="16"/>
              </w:rPr>
              <w:t>části (0xE1)</w:t>
            </w:r>
          </w:p>
        </w:tc>
        <w:tc>
          <w:tcPr>
            <w:tcW w:w="1862" w:type="dxa"/>
          </w:tcPr>
          <w:p>
            <w:pPr>
              <w:pStyle w:val="TableParagraph"/>
              <w:spacing w:before="178"/>
              <w:ind w:left="9"/>
              <w:jc w:val="center"/>
              <w:rPr>
                <w:sz w:val="18"/>
              </w:rPr>
            </w:pPr>
            <w:r>
              <w:rPr>
                <w:sz w:val="16"/>
              </w:rPr>
              <w:t xml:space="preserve">Vysoká </w:t>
            </w:r>
            <w:r>
              <w:rPr>
                <w:spacing w:val="-2"/>
                <w:sz w:val="16"/>
              </w:rPr>
              <w:t>priorita</w:t>
            </w:r>
          </w:p>
        </w:tc>
        <w:tc>
          <w:tcPr>
            <w:tcW w:w="2496" w:type="dxa"/>
          </w:tcPr>
          <w:p>
            <w:pPr>
              <w:pStyle w:val="TableParagraph"/>
              <w:spacing w:before="17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564"/>
        </w:trPr>
        <w:tc>
          <w:tcPr>
            <w:tcW w:w="879" w:type="dxa"/>
            <w:vMerge/>
            <w:tcBorders>
              <w:top w:val="nil"/>
            </w:tcBorders>
          </w:tcPr>
          <w:p>
            <w:pPr>
              <w:rPr>
                <w:sz w:val="2"/>
                <w:szCs w:val="2"/>
              </w:rPr>
            </w:pPr>
          </w:p>
        </w:tc>
        <w:tc>
          <w:tcPr>
            <w:tcW w:w="1696" w:type="dxa"/>
          </w:tcPr>
          <w:p>
            <w:pPr>
              <w:pStyle w:val="TableParagraph"/>
              <w:spacing w:before="70" w:line="254" w:lineRule="auto"/>
              <w:ind w:left="413" w:right="227" w:hanging="173"/>
              <w:rPr>
                <w:sz w:val="18"/>
              </w:rPr>
            </w:pPr>
            <w:r>
              <w:rPr>
                <w:spacing w:val="-2"/>
                <w:sz w:val="16"/>
              </w:rPr>
              <w:t>Porucha</w:t>
            </w:r>
            <w:r>
              <w:rPr>
                <w:sz w:val="16"/>
              </w:rPr>
              <w:t xml:space="preserve"> provozu </w:t>
            </w:r>
            <w:r>
              <w:rPr>
                <w:sz w:val="16"/>
              </w:rPr>
              <w:t xml:space="preserve">motoru </w:t>
            </w:r>
            <w:r>
              <w:rPr>
                <w:spacing w:val="-2"/>
                <w:sz w:val="16"/>
              </w:rPr>
              <w:t>(0xE2)</w:t>
            </w:r>
          </w:p>
        </w:tc>
        <w:tc>
          <w:tcPr>
            <w:tcW w:w="1862" w:type="dxa"/>
          </w:tcPr>
          <w:p>
            <w:pPr>
              <w:pStyle w:val="TableParagraph"/>
              <w:spacing w:before="178"/>
              <w:ind w:left="9"/>
              <w:jc w:val="center"/>
              <w:rPr>
                <w:sz w:val="18"/>
              </w:rPr>
            </w:pPr>
            <w:r>
              <w:rPr>
                <w:sz w:val="16"/>
              </w:rPr>
              <w:t xml:space="preserve">Vysoká </w:t>
            </w:r>
            <w:r>
              <w:rPr>
                <w:spacing w:val="-2"/>
                <w:sz w:val="16"/>
              </w:rPr>
              <w:t>priorita</w:t>
            </w:r>
          </w:p>
        </w:tc>
        <w:tc>
          <w:tcPr>
            <w:tcW w:w="2496" w:type="dxa"/>
          </w:tcPr>
          <w:p>
            <w:pPr>
              <w:pStyle w:val="TableParagraph"/>
              <w:spacing w:before="17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563"/>
        </w:trPr>
        <w:tc>
          <w:tcPr>
            <w:tcW w:w="879" w:type="dxa"/>
            <w:vMerge/>
            <w:tcBorders>
              <w:top w:val="nil"/>
            </w:tcBorders>
          </w:tcPr>
          <w:p>
            <w:pPr>
              <w:rPr>
                <w:sz w:val="2"/>
                <w:szCs w:val="2"/>
              </w:rPr>
            </w:pPr>
          </w:p>
        </w:tc>
        <w:tc>
          <w:tcPr>
            <w:tcW w:w="1696" w:type="dxa"/>
          </w:tcPr>
          <w:p>
            <w:pPr>
              <w:pStyle w:val="TableParagraph"/>
              <w:spacing w:before="69" w:line="254" w:lineRule="auto"/>
              <w:ind w:left="413" w:right="390" w:hanging="10"/>
              <w:rPr>
                <w:sz w:val="18"/>
              </w:rPr>
            </w:pPr>
            <w:r>
              <w:rPr>
                <w:spacing w:val="-2"/>
                <w:sz w:val="16"/>
              </w:rPr>
              <w:t xml:space="preserve">Porucha </w:t>
            </w:r>
            <w:r>
              <w:rPr>
                <w:sz w:val="16"/>
              </w:rPr>
              <w:t xml:space="preserve">úložné </w:t>
            </w:r>
            <w:r>
              <w:rPr>
                <w:sz w:val="16"/>
              </w:rPr>
              <w:t xml:space="preserve">části </w:t>
            </w:r>
            <w:r>
              <w:rPr>
                <w:spacing w:val="-2"/>
                <w:sz w:val="16"/>
              </w:rPr>
              <w:t>(0xE3)</w:t>
            </w:r>
          </w:p>
        </w:tc>
        <w:tc>
          <w:tcPr>
            <w:tcW w:w="1862" w:type="dxa"/>
          </w:tcPr>
          <w:p>
            <w:pPr>
              <w:pStyle w:val="TableParagraph"/>
              <w:spacing w:before="180"/>
              <w:ind w:left="9"/>
              <w:jc w:val="center"/>
              <w:rPr>
                <w:sz w:val="18"/>
              </w:rPr>
            </w:pPr>
            <w:r>
              <w:rPr>
                <w:sz w:val="16"/>
              </w:rPr>
              <w:t xml:space="preserve">Vysoká </w:t>
            </w:r>
            <w:r>
              <w:rPr>
                <w:spacing w:val="-2"/>
                <w:sz w:val="16"/>
              </w:rPr>
              <w:t>priorita</w:t>
            </w:r>
          </w:p>
        </w:tc>
        <w:tc>
          <w:tcPr>
            <w:tcW w:w="2496" w:type="dxa"/>
          </w:tcPr>
          <w:p>
            <w:pPr>
              <w:pStyle w:val="TableParagraph"/>
              <w:spacing w:before="180"/>
              <w:ind w:left="7"/>
              <w:jc w:val="center"/>
              <w:rPr>
                <w:sz w:val="18"/>
              </w:rPr>
            </w:pPr>
            <w:r>
              <w:rPr>
                <w:sz w:val="16"/>
              </w:rPr>
              <w:t xml:space="preserve">Červená </w:t>
            </w:r>
            <w:r>
              <w:rPr>
                <w:spacing w:val="-2"/>
                <w:sz w:val="16"/>
              </w:rPr>
              <w:t>kontrolka/2 Hz</w:t>
            </w:r>
          </w:p>
        </w:tc>
      </w:tr>
      <w:tr>
        <w:tblPrEx>
          <w:tblW w:w="0" w:type="auto"/>
          <w:tblInd w:w="308" w:type="dxa"/>
          <w:tblLayout w:type="fixed"/>
          <w:tblLook w:val="01E0"/>
        </w:tblPrEx>
        <w:trPr>
          <w:trHeight w:val="344"/>
        </w:trPr>
        <w:tc>
          <w:tcPr>
            <w:tcW w:w="2575" w:type="dxa"/>
            <w:gridSpan w:val="2"/>
          </w:tcPr>
          <w:p>
            <w:pPr>
              <w:pStyle w:val="TableParagraph"/>
              <w:spacing w:before="69"/>
              <w:ind w:left="769"/>
              <w:rPr>
                <w:sz w:val="18"/>
              </w:rPr>
            </w:pPr>
            <w:r>
              <w:rPr>
                <w:spacing w:val="-2"/>
                <w:sz w:val="16"/>
              </w:rPr>
              <w:t xml:space="preserve">Chyba </w:t>
            </w:r>
            <w:r>
              <w:rPr>
                <w:sz w:val="16"/>
              </w:rPr>
              <w:t>tlaku</w:t>
            </w:r>
          </w:p>
        </w:tc>
        <w:tc>
          <w:tcPr>
            <w:tcW w:w="1862" w:type="dxa"/>
          </w:tcPr>
          <w:p>
            <w:pPr>
              <w:pStyle w:val="TableParagraph"/>
              <w:spacing w:before="69"/>
              <w:ind w:left="9"/>
              <w:jc w:val="center"/>
              <w:rPr>
                <w:sz w:val="18"/>
              </w:rPr>
            </w:pPr>
            <w:r>
              <w:rPr>
                <w:sz w:val="16"/>
              </w:rPr>
              <w:t xml:space="preserve">Vysoká </w:t>
            </w:r>
            <w:r>
              <w:rPr>
                <w:spacing w:val="-2"/>
                <w:sz w:val="16"/>
              </w:rPr>
              <w:t>priorita</w:t>
            </w:r>
          </w:p>
        </w:tc>
        <w:tc>
          <w:tcPr>
            <w:tcW w:w="2496" w:type="dxa"/>
          </w:tcPr>
          <w:p>
            <w:pPr>
              <w:pStyle w:val="TableParagraph"/>
              <w:spacing w:before="69"/>
              <w:ind w:left="7"/>
              <w:jc w:val="center"/>
              <w:rPr>
                <w:sz w:val="18"/>
              </w:rPr>
            </w:pPr>
            <w:r>
              <w:rPr>
                <w:sz w:val="16"/>
              </w:rPr>
              <w:t xml:space="preserve">Červená </w:t>
            </w:r>
            <w:r>
              <w:rPr>
                <w:spacing w:val="-2"/>
                <w:sz w:val="16"/>
              </w:rPr>
              <w:t>kontrolka/2 Hz</w:t>
            </w:r>
          </w:p>
        </w:tc>
      </w:tr>
      <w:tr>
        <w:tblPrEx>
          <w:tblW w:w="0" w:type="auto"/>
          <w:tblInd w:w="308" w:type="dxa"/>
          <w:tblLayout w:type="fixed"/>
          <w:tblLook w:val="01E0"/>
        </w:tblPrEx>
        <w:trPr>
          <w:trHeight w:val="343"/>
        </w:trPr>
        <w:tc>
          <w:tcPr>
            <w:tcW w:w="2575" w:type="dxa"/>
            <w:gridSpan w:val="2"/>
          </w:tcPr>
          <w:p>
            <w:pPr>
              <w:pStyle w:val="TableParagraph"/>
              <w:spacing w:before="68"/>
              <w:ind w:left="10" w:right="4"/>
              <w:jc w:val="center"/>
              <w:rPr>
                <w:sz w:val="18"/>
              </w:rPr>
            </w:pPr>
            <w:r>
              <w:rPr>
                <w:spacing w:val="-2"/>
                <w:sz w:val="16"/>
              </w:rPr>
              <w:t>Vykloubení</w:t>
            </w:r>
          </w:p>
        </w:tc>
        <w:tc>
          <w:tcPr>
            <w:tcW w:w="1862" w:type="dxa"/>
          </w:tcPr>
          <w:p>
            <w:pPr>
              <w:pStyle w:val="TableParagraph"/>
              <w:spacing w:before="68"/>
              <w:ind w:left="9"/>
              <w:jc w:val="center"/>
              <w:rPr>
                <w:sz w:val="18"/>
              </w:rPr>
            </w:pPr>
            <w:r>
              <w:rPr>
                <w:sz w:val="16"/>
              </w:rPr>
              <w:t xml:space="preserve">Vysoká </w:t>
            </w:r>
            <w:r>
              <w:rPr>
                <w:spacing w:val="-2"/>
                <w:sz w:val="16"/>
              </w:rPr>
              <w:t>priorita</w:t>
            </w:r>
          </w:p>
        </w:tc>
        <w:tc>
          <w:tcPr>
            <w:tcW w:w="2496" w:type="dxa"/>
          </w:tcPr>
          <w:p>
            <w:pPr>
              <w:pStyle w:val="TableParagraph"/>
              <w:spacing w:before="6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9"/>
              <w:ind w:left="10" w:right="2"/>
              <w:jc w:val="center"/>
              <w:rPr>
                <w:sz w:val="18"/>
              </w:rPr>
            </w:pPr>
            <w:r>
              <w:rPr>
                <w:sz w:val="16"/>
              </w:rPr>
              <w:t xml:space="preserve">Rukojeť </w:t>
            </w:r>
            <w:r>
              <w:rPr>
                <w:spacing w:val="-5"/>
                <w:sz w:val="16"/>
              </w:rPr>
              <w:t>mimo</w:t>
            </w:r>
          </w:p>
        </w:tc>
        <w:tc>
          <w:tcPr>
            <w:tcW w:w="1862" w:type="dxa"/>
          </w:tcPr>
          <w:p>
            <w:pPr>
              <w:pStyle w:val="TableParagraph"/>
              <w:spacing w:before="69"/>
              <w:ind w:left="9"/>
              <w:jc w:val="center"/>
              <w:rPr>
                <w:sz w:val="18"/>
              </w:rPr>
            </w:pPr>
            <w:r>
              <w:rPr>
                <w:sz w:val="16"/>
              </w:rPr>
              <w:t xml:space="preserve">Vysoká </w:t>
            </w:r>
            <w:r>
              <w:rPr>
                <w:spacing w:val="-2"/>
                <w:sz w:val="16"/>
              </w:rPr>
              <w:t>priorita</w:t>
            </w:r>
          </w:p>
        </w:tc>
        <w:tc>
          <w:tcPr>
            <w:tcW w:w="2496" w:type="dxa"/>
          </w:tcPr>
          <w:p>
            <w:pPr>
              <w:pStyle w:val="TableParagraph"/>
              <w:spacing w:before="69"/>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8"/>
              <w:ind w:left="10" w:right="6"/>
              <w:jc w:val="center"/>
              <w:rPr>
                <w:sz w:val="18"/>
              </w:rPr>
            </w:pPr>
            <w:r>
              <w:rPr>
                <w:spacing w:val="-2"/>
                <w:sz w:val="16"/>
              </w:rPr>
              <w:t>Odpojeno</w:t>
            </w:r>
          </w:p>
        </w:tc>
        <w:tc>
          <w:tcPr>
            <w:tcW w:w="1862" w:type="dxa"/>
          </w:tcPr>
          <w:p>
            <w:pPr>
              <w:pStyle w:val="TableParagraph"/>
              <w:spacing w:before="68"/>
              <w:ind w:left="9"/>
              <w:jc w:val="center"/>
              <w:rPr>
                <w:sz w:val="18"/>
              </w:rPr>
            </w:pPr>
            <w:r>
              <w:rPr>
                <w:sz w:val="16"/>
              </w:rPr>
              <w:t xml:space="preserve">Vysoká </w:t>
            </w:r>
            <w:r>
              <w:rPr>
                <w:spacing w:val="-2"/>
                <w:sz w:val="16"/>
              </w:rPr>
              <w:t>priorita</w:t>
            </w:r>
          </w:p>
        </w:tc>
        <w:tc>
          <w:tcPr>
            <w:tcW w:w="2496" w:type="dxa"/>
          </w:tcPr>
          <w:p>
            <w:pPr>
              <w:pStyle w:val="TableParagraph"/>
              <w:spacing w:before="6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4"/>
        </w:trPr>
        <w:tc>
          <w:tcPr>
            <w:tcW w:w="2575" w:type="dxa"/>
            <w:gridSpan w:val="2"/>
          </w:tcPr>
          <w:p>
            <w:pPr>
              <w:pStyle w:val="TableParagraph"/>
              <w:spacing w:before="69"/>
              <w:ind w:left="10" w:right="2"/>
              <w:jc w:val="center"/>
              <w:rPr>
                <w:sz w:val="18"/>
              </w:rPr>
            </w:pPr>
            <w:r>
              <w:rPr>
                <w:spacing w:val="-2"/>
                <w:sz w:val="16"/>
              </w:rPr>
              <w:t>Stříkačka vypnutá</w:t>
            </w:r>
          </w:p>
        </w:tc>
        <w:tc>
          <w:tcPr>
            <w:tcW w:w="1862" w:type="dxa"/>
          </w:tcPr>
          <w:p>
            <w:pPr>
              <w:pStyle w:val="TableParagraph"/>
              <w:spacing w:before="69"/>
              <w:ind w:left="9"/>
              <w:jc w:val="center"/>
              <w:rPr>
                <w:sz w:val="18"/>
              </w:rPr>
            </w:pPr>
            <w:r>
              <w:rPr>
                <w:sz w:val="16"/>
              </w:rPr>
              <w:t xml:space="preserve">Vysoká </w:t>
            </w:r>
            <w:r>
              <w:rPr>
                <w:spacing w:val="-2"/>
                <w:sz w:val="16"/>
              </w:rPr>
              <w:t>priorita</w:t>
            </w:r>
          </w:p>
        </w:tc>
        <w:tc>
          <w:tcPr>
            <w:tcW w:w="2496" w:type="dxa"/>
          </w:tcPr>
          <w:p>
            <w:pPr>
              <w:pStyle w:val="TableParagraph"/>
              <w:spacing w:before="69"/>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8"/>
              <w:ind w:left="10" w:right="4"/>
              <w:jc w:val="center"/>
              <w:rPr>
                <w:sz w:val="18"/>
              </w:rPr>
            </w:pPr>
            <w:r>
              <w:rPr>
                <w:spacing w:val="-2"/>
                <w:sz w:val="16"/>
              </w:rPr>
              <w:t>Okluze</w:t>
            </w:r>
          </w:p>
        </w:tc>
        <w:tc>
          <w:tcPr>
            <w:tcW w:w="1862" w:type="dxa"/>
          </w:tcPr>
          <w:p>
            <w:pPr>
              <w:pStyle w:val="TableParagraph"/>
              <w:spacing w:before="68"/>
              <w:ind w:left="9"/>
              <w:jc w:val="center"/>
              <w:rPr>
                <w:sz w:val="18"/>
              </w:rPr>
            </w:pPr>
            <w:r>
              <w:rPr>
                <w:sz w:val="16"/>
              </w:rPr>
              <w:t xml:space="preserve">Vysoká </w:t>
            </w:r>
            <w:r>
              <w:rPr>
                <w:spacing w:val="-2"/>
                <w:sz w:val="16"/>
              </w:rPr>
              <w:t>priorita</w:t>
            </w:r>
          </w:p>
        </w:tc>
        <w:tc>
          <w:tcPr>
            <w:tcW w:w="2496" w:type="dxa"/>
          </w:tcPr>
          <w:p>
            <w:pPr>
              <w:pStyle w:val="TableParagraph"/>
              <w:spacing w:before="6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9"/>
              <w:ind w:left="709"/>
              <w:rPr>
                <w:sz w:val="18"/>
              </w:rPr>
            </w:pPr>
            <w:r>
              <w:rPr>
                <w:spacing w:val="-2"/>
                <w:sz w:val="16"/>
              </w:rPr>
              <w:t xml:space="preserve">Vybitá </w:t>
            </w:r>
            <w:r>
              <w:rPr>
                <w:sz w:val="16"/>
              </w:rPr>
              <w:t>baterie</w:t>
            </w:r>
          </w:p>
        </w:tc>
        <w:tc>
          <w:tcPr>
            <w:tcW w:w="1862" w:type="dxa"/>
          </w:tcPr>
          <w:p>
            <w:pPr>
              <w:pStyle w:val="TableParagraph"/>
              <w:spacing w:before="69"/>
              <w:ind w:left="9"/>
              <w:jc w:val="center"/>
              <w:rPr>
                <w:sz w:val="18"/>
              </w:rPr>
            </w:pPr>
            <w:r>
              <w:rPr>
                <w:sz w:val="16"/>
              </w:rPr>
              <w:t xml:space="preserve">Vysoká </w:t>
            </w:r>
            <w:r>
              <w:rPr>
                <w:spacing w:val="-2"/>
                <w:sz w:val="16"/>
              </w:rPr>
              <w:t>priorita</w:t>
            </w:r>
          </w:p>
        </w:tc>
        <w:tc>
          <w:tcPr>
            <w:tcW w:w="2496" w:type="dxa"/>
          </w:tcPr>
          <w:p>
            <w:pPr>
              <w:pStyle w:val="TableParagraph"/>
              <w:spacing w:before="69"/>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8"/>
              <w:ind w:left="795"/>
              <w:rPr>
                <w:sz w:val="18"/>
              </w:rPr>
            </w:pPr>
            <w:r>
              <w:rPr>
                <w:spacing w:val="-2"/>
                <w:sz w:val="16"/>
              </w:rPr>
              <w:t xml:space="preserve">Chyba </w:t>
            </w:r>
            <w:r>
              <w:rPr>
                <w:sz w:val="16"/>
              </w:rPr>
              <w:t>injekční stříkačky</w:t>
            </w:r>
          </w:p>
        </w:tc>
        <w:tc>
          <w:tcPr>
            <w:tcW w:w="1862" w:type="dxa"/>
          </w:tcPr>
          <w:p>
            <w:pPr>
              <w:pStyle w:val="TableParagraph"/>
              <w:spacing w:before="68"/>
              <w:ind w:left="9"/>
              <w:jc w:val="center"/>
              <w:rPr>
                <w:sz w:val="18"/>
              </w:rPr>
            </w:pPr>
            <w:r>
              <w:rPr>
                <w:sz w:val="16"/>
              </w:rPr>
              <w:t xml:space="preserve">Vysoká </w:t>
            </w:r>
            <w:r>
              <w:rPr>
                <w:spacing w:val="-2"/>
                <w:sz w:val="16"/>
              </w:rPr>
              <w:t>priorita</w:t>
            </w:r>
          </w:p>
        </w:tc>
        <w:tc>
          <w:tcPr>
            <w:tcW w:w="2496" w:type="dxa"/>
          </w:tcPr>
          <w:p>
            <w:pPr>
              <w:pStyle w:val="TableParagraph"/>
              <w:spacing w:before="6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9"/>
              <w:ind w:left="10"/>
              <w:jc w:val="center"/>
              <w:rPr>
                <w:sz w:val="18"/>
              </w:rPr>
            </w:pPr>
            <w:r>
              <w:rPr>
                <w:spacing w:val="-2"/>
                <w:sz w:val="16"/>
              </w:rPr>
              <w:t>Chyba značky</w:t>
            </w:r>
          </w:p>
        </w:tc>
        <w:tc>
          <w:tcPr>
            <w:tcW w:w="1862" w:type="dxa"/>
          </w:tcPr>
          <w:p>
            <w:pPr>
              <w:pStyle w:val="TableParagraph"/>
              <w:spacing w:before="69"/>
              <w:ind w:left="9"/>
              <w:jc w:val="center"/>
              <w:rPr>
                <w:sz w:val="18"/>
              </w:rPr>
            </w:pPr>
            <w:r>
              <w:rPr>
                <w:sz w:val="16"/>
              </w:rPr>
              <w:t xml:space="preserve">Vysoká </w:t>
            </w:r>
            <w:r>
              <w:rPr>
                <w:spacing w:val="-2"/>
                <w:sz w:val="16"/>
              </w:rPr>
              <w:t>priorita</w:t>
            </w:r>
          </w:p>
        </w:tc>
        <w:tc>
          <w:tcPr>
            <w:tcW w:w="2496" w:type="dxa"/>
          </w:tcPr>
          <w:p>
            <w:pPr>
              <w:pStyle w:val="TableParagraph"/>
              <w:spacing w:before="69"/>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4"/>
        </w:trPr>
        <w:tc>
          <w:tcPr>
            <w:tcW w:w="2575" w:type="dxa"/>
            <w:gridSpan w:val="2"/>
          </w:tcPr>
          <w:p>
            <w:pPr>
              <w:pStyle w:val="TableParagraph"/>
              <w:spacing w:before="68"/>
              <w:ind w:left="10" w:right="1"/>
              <w:jc w:val="center"/>
              <w:rPr>
                <w:sz w:val="18"/>
              </w:rPr>
            </w:pPr>
            <w:r>
              <w:rPr>
                <w:spacing w:val="-4"/>
                <w:sz w:val="16"/>
              </w:rPr>
              <w:t>Prázdné</w:t>
            </w:r>
          </w:p>
        </w:tc>
        <w:tc>
          <w:tcPr>
            <w:tcW w:w="1862" w:type="dxa"/>
          </w:tcPr>
          <w:p>
            <w:pPr>
              <w:pStyle w:val="TableParagraph"/>
              <w:spacing w:before="68"/>
              <w:ind w:left="9"/>
              <w:jc w:val="center"/>
              <w:rPr>
                <w:sz w:val="18"/>
              </w:rPr>
            </w:pPr>
            <w:r>
              <w:rPr>
                <w:sz w:val="16"/>
              </w:rPr>
              <w:t xml:space="preserve">Vysoká </w:t>
            </w:r>
            <w:r>
              <w:rPr>
                <w:spacing w:val="-2"/>
                <w:sz w:val="16"/>
              </w:rPr>
              <w:t>priorita</w:t>
            </w:r>
          </w:p>
        </w:tc>
        <w:tc>
          <w:tcPr>
            <w:tcW w:w="2496" w:type="dxa"/>
          </w:tcPr>
          <w:p>
            <w:pPr>
              <w:pStyle w:val="TableParagraph"/>
              <w:spacing w:before="6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9"/>
              <w:ind w:left="10" w:right="4"/>
              <w:jc w:val="center"/>
              <w:rPr>
                <w:sz w:val="18"/>
              </w:rPr>
            </w:pPr>
            <w:r>
              <w:rPr>
                <w:spacing w:val="-2"/>
                <w:sz w:val="16"/>
              </w:rPr>
              <w:t>Dokončeno</w:t>
            </w:r>
          </w:p>
        </w:tc>
        <w:tc>
          <w:tcPr>
            <w:tcW w:w="1862" w:type="dxa"/>
          </w:tcPr>
          <w:p>
            <w:pPr>
              <w:pStyle w:val="TableParagraph"/>
              <w:spacing w:before="69"/>
              <w:ind w:left="9"/>
              <w:jc w:val="center"/>
              <w:rPr>
                <w:sz w:val="18"/>
              </w:rPr>
            </w:pPr>
            <w:r>
              <w:rPr>
                <w:sz w:val="16"/>
              </w:rPr>
              <w:t xml:space="preserve">Vysoká </w:t>
            </w:r>
            <w:r>
              <w:rPr>
                <w:spacing w:val="-2"/>
                <w:sz w:val="16"/>
              </w:rPr>
              <w:t>priorita</w:t>
            </w:r>
          </w:p>
        </w:tc>
        <w:tc>
          <w:tcPr>
            <w:tcW w:w="2496" w:type="dxa"/>
          </w:tcPr>
          <w:p>
            <w:pPr>
              <w:pStyle w:val="TableParagraph"/>
              <w:spacing w:before="69"/>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8"/>
              <w:ind w:left="450"/>
              <w:rPr>
                <w:sz w:val="18"/>
              </w:rPr>
            </w:pPr>
            <w:r>
              <w:rPr>
                <w:spacing w:val="-2"/>
                <w:sz w:val="16"/>
              </w:rPr>
              <w:t xml:space="preserve">Porucha </w:t>
            </w:r>
            <w:r>
              <w:rPr>
                <w:sz w:val="16"/>
              </w:rPr>
              <w:t>komunikace</w:t>
            </w:r>
          </w:p>
        </w:tc>
        <w:tc>
          <w:tcPr>
            <w:tcW w:w="1862" w:type="dxa"/>
          </w:tcPr>
          <w:p>
            <w:pPr>
              <w:pStyle w:val="TableParagraph"/>
              <w:spacing w:before="68"/>
              <w:ind w:left="9"/>
              <w:jc w:val="center"/>
              <w:rPr>
                <w:sz w:val="18"/>
              </w:rPr>
            </w:pPr>
            <w:r>
              <w:rPr>
                <w:sz w:val="16"/>
              </w:rPr>
              <w:t xml:space="preserve">Vysoká </w:t>
            </w:r>
            <w:r>
              <w:rPr>
                <w:spacing w:val="-2"/>
                <w:sz w:val="16"/>
              </w:rPr>
              <w:t>priorita</w:t>
            </w:r>
          </w:p>
        </w:tc>
        <w:tc>
          <w:tcPr>
            <w:tcW w:w="2496" w:type="dxa"/>
          </w:tcPr>
          <w:p>
            <w:pPr>
              <w:pStyle w:val="TableParagraph"/>
              <w:spacing w:before="68"/>
              <w:ind w:left="7"/>
              <w:jc w:val="center"/>
              <w:rPr>
                <w:sz w:val="18"/>
              </w:rPr>
            </w:pPr>
            <w:r>
              <w:rPr>
                <w:sz w:val="16"/>
              </w:rPr>
              <w:t xml:space="preserve">Červené </w:t>
            </w:r>
            <w:r>
              <w:rPr>
                <w:spacing w:val="-2"/>
                <w:sz w:val="16"/>
              </w:rPr>
              <w:t>světlo/2 Hz</w:t>
            </w:r>
          </w:p>
        </w:tc>
      </w:tr>
      <w:tr>
        <w:tblPrEx>
          <w:tblW w:w="0" w:type="auto"/>
          <w:tblInd w:w="308" w:type="dxa"/>
          <w:tblLayout w:type="fixed"/>
          <w:tblLook w:val="01E0"/>
        </w:tblPrEx>
        <w:trPr>
          <w:trHeight w:val="343"/>
        </w:trPr>
        <w:tc>
          <w:tcPr>
            <w:tcW w:w="2575" w:type="dxa"/>
            <w:gridSpan w:val="2"/>
          </w:tcPr>
          <w:p>
            <w:pPr>
              <w:pStyle w:val="TableParagraph"/>
              <w:spacing w:before="69"/>
              <w:ind w:left="10" w:right="3"/>
              <w:jc w:val="center"/>
              <w:rPr>
                <w:sz w:val="18"/>
              </w:rPr>
            </w:pPr>
            <w:r>
              <w:rPr>
                <w:spacing w:val="-4"/>
                <w:sz w:val="16"/>
              </w:rPr>
              <w:t xml:space="preserve">Porucha </w:t>
            </w:r>
            <w:r>
              <w:rPr>
                <w:sz w:val="16"/>
              </w:rPr>
              <w:t>baterie</w:t>
            </w:r>
          </w:p>
        </w:tc>
        <w:tc>
          <w:tcPr>
            <w:tcW w:w="1862" w:type="dxa"/>
          </w:tcPr>
          <w:p>
            <w:pPr>
              <w:pStyle w:val="TableParagraph"/>
              <w:spacing w:before="69"/>
              <w:ind w:left="9" w:right="2"/>
              <w:jc w:val="center"/>
              <w:rPr>
                <w:sz w:val="18"/>
              </w:rPr>
            </w:pPr>
            <w:r>
              <w:rPr>
                <w:sz w:val="16"/>
              </w:rPr>
              <w:t xml:space="preserve">Nízká </w:t>
            </w:r>
            <w:r>
              <w:rPr>
                <w:spacing w:val="-2"/>
                <w:sz w:val="16"/>
              </w:rPr>
              <w:t>priorita</w:t>
            </w:r>
          </w:p>
        </w:tc>
        <w:tc>
          <w:tcPr>
            <w:tcW w:w="2496" w:type="dxa"/>
          </w:tcPr>
          <w:p>
            <w:pPr>
              <w:pStyle w:val="TableParagraph"/>
              <w:spacing w:before="69"/>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3"/>
        </w:trPr>
        <w:tc>
          <w:tcPr>
            <w:tcW w:w="2575" w:type="dxa"/>
            <w:gridSpan w:val="2"/>
          </w:tcPr>
          <w:p>
            <w:pPr>
              <w:pStyle w:val="TableParagraph"/>
              <w:spacing w:before="68"/>
              <w:ind w:left="848"/>
              <w:rPr>
                <w:sz w:val="18"/>
              </w:rPr>
            </w:pPr>
            <w:r>
              <w:rPr>
                <w:sz w:val="16"/>
              </w:rPr>
              <w:t xml:space="preserve">Téměř </w:t>
            </w:r>
            <w:r>
              <w:rPr>
                <w:spacing w:val="-2"/>
                <w:sz w:val="16"/>
              </w:rPr>
              <w:t>vybitá</w:t>
            </w:r>
          </w:p>
        </w:tc>
        <w:tc>
          <w:tcPr>
            <w:tcW w:w="1862" w:type="dxa"/>
          </w:tcPr>
          <w:p>
            <w:pPr>
              <w:pStyle w:val="TableParagraph"/>
              <w:spacing w:before="68"/>
              <w:ind w:left="9" w:right="2"/>
              <w:jc w:val="center"/>
              <w:rPr>
                <w:sz w:val="18"/>
              </w:rPr>
            </w:pPr>
            <w:r>
              <w:rPr>
                <w:sz w:val="16"/>
              </w:rPr>
              <w:t xml:space="preserve">Nízká </w:t>
            </w:r>
            <w:r>
              <w:rPr>
                <w:spacing w:val="-2"/>
                <w:sz w:val="16"/>
              </w:rPr>
              <w:t>priorita</w:t>
            </w:r>
          </w:p>
        </w:tc>
        <w:tc>
          <w:tcPr>
            <w:tcW w:w="2496" w:type="dxa"/>
          </w:tcPr>
          <w:p>
            <w:pPr>
              <w:pStyle w:val="TableParagraph"/>
              <w:spacing w:before="68"/>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4"/>
        </w:trPr>
        <w:tc>
          <w:tcPr>
            <w:tcW w:w="2575" w:type="dxa"/>
            <w:gridSpan w:val="2"/>
          </w:tcPr>
          <w:p>
            <w:pPr>
              <w:pStyle w:val="TableParagraph"/>
              <w:spacing w:before="69"/>
              <w:ind w:left="838"/>
              <w:rPr>
                <w:sz w:val="18"/>
              </w:rPr>
            </w:pPr>
            <w:r>
              <w:rPr>
                <w:spacing w:val="-5"/>
                <w:sz w:val="16"/>
              </w:rPr>
              <w:t xml:space="preserve">Konec </w:t>
            </w:r>
            <w:r>
              <w:rPr>
                <w:sz w:val="16"/>
              </w:rPr>
              <w:t>pohotovostního režimu</w:t>
            </w:r>
          </w:p>
        </w:tc>
        <w:tc>
          <w:tcPr>
            <w:tcW w:w="1862" w:type="dxa"/>
          </w:tcPr>
          <w:p>
            <w:pPr>
              <w:pStyle w:val="TableParagraph"/>
              <w:spacing w:before="69"/>
              <w:ind w:left="9" w:right="2"/>
              <w:jc w:val="center"/>
              <w:rPr>
                <w:sz w:val="18"/>
              </w:rPr>
            </w:pPr>
            <w:r>
              <w:rPr>
                <w:sz w:val="16"/>
              </w:rPr>
              <w:t xml:space="preserve">Nízká </w:t>
            </w:r>
            <w:r>
              <w:rPr>
                <w:spacing w:val="-2"/>
                <w:sz w:val="16"/>
              </w:rPr>
              <w:t>priorita</w:t>
            </w:r>
          </w:p>
        </w:tc>
        <w:tc>
          <w:tcPr>
            <w:tcW w:w="2496" w:type="dxa"/>
          </w:tcPr>
          <w:p>
            <w:pPr>
              <w:pStyle w:val="TableParagraph"/>
              <w:spacing w:before="69"/>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3"/>
        </w:trPr>
        <w:tc>
          <w:tcPr>
            <w:tcW w:w="2575" w:type="dxa"/>
            <w:gridSpan w:val="2"/>
          </w:tcPr>
          <w:p>
            <w:pPr>
              <w:pStyle w:val="TableParagraph"/>
              <w:spacing w:before="68"/>
              <w:ind w:left="826"/>
              <w:rPr>
                <w:sz w:val="18"/>
              </w:rPr>
            </w:pPr>
            <w:r>
              <w:rPr>
                <w:spacing w:val="-2"/>
                <w:sz w:val="16"/>
              </w:rPr>
              <w:t>Téměř hotovo</w:t>
            </w:r>
          </w:p>
        </w:tc>
        <w:tc>
          <w:tcPr>
            <w:tcW w:w="1862" w:type="dxa"/>
          </w:tcPr>
          <w:p>
            <w:pPr>
              <w:pStyle w:val="TableParagraph"/>
              <w:spacing w:before="68"/>
              <w:ind w:left="9" w:right="2"/>
              <w:jc w:val="center"/>
              <w:rPr>
                <w:sz w:val="18"/>
              </w:rPr>
            </w:pPr>
            <w:r>
              <w:rPr>
                <w:sz w:val="16"/>
              </w:rPr>
              <w:t xml:space="preserve">Nízká </w:t>
            </w:r>
            <w:r>
              <w:rPr>
                <w:spacing w:val="-2"/>
                <w:sz w:val="16"/>
              </w:rPr>
              <w:t>priorita</w:t>
            </w:r>
          </w:p>
        </w:tc>
        <w:tc>
          <w:tcPr>
            <w:tcW w:w="2496" w:type="dxa"/>
          </w:tcPr>
          <w:p>
            <w:pPr>
              <w:pStyle w:val="TableParagraph"/>
              <w:spacing w:before="68"/>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3"/>
        </w:trPr>
        <w:tc>
          <w:tcPr>
            <w:tcW w:w="2575" w:type="dxa"/>
            <w:gridSpan w:val="2"/>
          </w:tcPr>
          <w:p>
            <w:pPr>
              <w:pStyle w:val="TableParagraph"/>
              <w:spacing w:before="69"/>
              <w:ind w:left="10"/>
              <w:jc w:val="center"/>
              <w:rPr>
                <w:sz w:val="18"/>
              </w:rPr>
            </w:pPr>
            <w:r>
              <w:rPr>
                <w:spacing w:val="-4"/>
                <w:sz w:val="16"/>
              </w:rPr>
              <w:t xml:space="preserve">Porucha </w:t>
            </w:r>
            <w:r>
              <w:rPr>
                <w:sz w:val="16"/>
              </w:rPr>
              <w:t>střídavého proudu</w:t>
            </w:r>
          </w:p>
        </w:tc>
        <w:tc>
          <w:tcPr>
            <w:tcW w:w="1862" w:type="dxa"/>
          </w:tcPr>
          <w:p>
            <w:pPr>
              <w:pStyle w:val="TableParagraph"/>
              <w:spacing w:before="69"/>
              <w:ind w:left="9" w:right="2"/>
              <w:jc w:val="center"/>
              <w:rPr>
                <w:sz w:val="18"/>
              </w:rPr>
            </w:pPr>
            <w:r>
              <w:rPr>
                <w:sz w:val="16"/>
              </w:rPr>
              <w:t xml:space="preserve">Nízká </w:t>
            </w:r>
            <w:r>
              <w:rPr>
                <w:spacing w:val="-2"/>
                <w:sz w:val="16"/>
              </w:rPr>
              <w:t>priorita</w:t>
            </w:r>
          </w:p>
        </w:tc>
        <w:tc>
          <w:tcPr>
            <w:tcW w:w="2496" w:type="dxa"/>
          </w:tcPr>
          <w:p>
            <w:pPr>
              <w:pStyle w:val="TableParagraph"/>
              <w:spacing w:before="69"/>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3"/>
        </w:trPr>
        <w:tc>
          <w:tcPr>
            <w:tcW w:w="2575" w:type="dxa"/>
            <w:gridSpan w:val="2"/>
          </w:tcPr>
          <w:p>
            <w:pPr>
              <w:pStyle w:val="TableParagraph"/>
              <w:spacing w:before="68"/>
              <w:ind w:left="10" w:right="2"/>
              <w:jc w:val="center"/>
              <w:rPr>
                <w:sz w:val="18"/>
              </w:rPr>
            </w:pPr>
            <w:r>
              <w:rPr>
                <w:spacing w:val="-2"/>
                <w:sz w:val="16"/>
              </w:rPr>
              <w:t>Ne</w:t>
            </w:r>
            <w:r>
              <w:rPr>
                <w:sz w:val="16"/>
              </w:rPr>
              <w:t>funguje</w:t>
            </w:r>
          </w:p>
        </w:tc>
        <w:tc>
          <w:tcPr>
            <w:tcW w:w="1862" w:type="dxa"/>
          </w:tcPr>
          <w:p>
            <w:pPr>
              <w:pStyle w:val="TableParagraph"/>
              <w:spacing w:before="68"/>
              <w:ind w:left="9" w:right="2"/>
              <w:jc w:val="center"/>
              <w:rPr>
                <w:sz w:val="18"/>
              </w:rPr>
            </w:pPr>
            <w:r>
              <w:rPr>
                <w:sz w:val="16"/>
              </w:rPr>
              <w:t xml:space="preserve">Nízká </w:t>
            </w:r>
            <w:r>
              <w:rPr>
                <w:spacing w:val="-2"/>
                <w:sz w:val="16"/>
              </w:rPr>
              <w:t>priorita</w:t>
            </w:r>
          </w:p>
        </w:tc>
        <w:tc>
          <w:tcPr>
            <w:tcW w:w="2496" w:type="dxa"/>
          </w:tcPr>
          <w:p>
            <w:pPr>
              <w:pStyle w:val="TableParagraph"/>
              <w:spacing w:before="68"/>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2"/>
        </w:trPr>
        <w:tc>
          <w:tcPr>
            <w:tcW w:w="2575" w:type="dxa"/>
            <w:gridSpan w:val="2"/>
          </w:tcPr>
          <w:p>
            <w:pPr>
              <w:pStyle w:val="TableParagraph"/>
              <w:spacing w:before="69"/>
              <w:ind w:left="10" w:right="4"/>
              <w:jc w:val="center"/>
              <w:rPr>
                <w:sz w:val="18"/>
              </w:rPr>
            </w:pPr>
            <w:r>
              <w:rPr>
                <w:spacing w:val="-2"/>
                <w:sz w:val="16"/>
              </w:rPr>
              <w:t>Použít baterii</w:t>
            </w:r>
          </w:p>
        </w:tc>
        <w:tc>
          <w:tcPr>
            <w:tcW w:w="1862" w:type="dxa"/>
          </w:tcPr>
          <w:p>
            <w:pPr>
              <w:pStyle w:val="TableParagraph"/>
              <w:spacing w:before="69"/>
              <w:ind w:left="9" w:right="2"/>
              <w:jc w:val="center"/>
              <w:rPr>
                <w:sz w:val="18"/>
              </w:rPr>
            </w:pPr>
            <w:r>
              <w:rPr>
                <w:sz w:val="16"/>
              </w:rPr>
              <w:t xml:space="preserve">Nízká </w:t>
            </w:r>
            <w:r>
              <w:rPr>
                <w:spacing w:val="-2"/>
                <w:sz w:val="16"/>
              </w:rPr>
              <w:t>priorita</w:t>
            </w:r>
          </w:p>
        </w:tc>
        <w:tc>
          <w:tcPr>
            <w:tcW w:w="2496" w:type="dxa"/>
          </w:tcPr>
          <w:p>
            <w:pPr>
              <w:pStyle w:val="TableParagraph"/>
              <w:spacing w:before="69"/>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bl>
    <w:p>
      <w:pPr>
        <w:pStyle w:val="TableParagraph"/>
        <w:spacing w:after="0"/>
        <w:jc w:val="center"/>
        <w:rPr>
          <w:sz w:val="18"/>
        </w:rPr>
        <w:sectPr>
          <w:pgSz w:w="8390" w:h="11910"/>
          <w:pgMar w:top="640" w:right="425" w:bottom="822" w:left="425" w:header="0" w:footer="342"/>
          <w:cols w:space="708"/>
        </w:sectPr>
      </w:pPr>
    </w:p>
    <w:tbl>
      <w:tblPr>
        <w:tblStyle w:val="TableNormal"/>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5"/>
        <w:gridCol w:w="1862"/>
        <w:gridCol w:w="2496"/>
      </w:tblGrid>
      <w:tr>
        <w:tblPrEx>
          <w:tblW w:w="0" w:type="auto"/>
          <w:tblInd w:w="308" w:type="dxa"/>
          <w:tblLayout w:type="fixed"/>
          <w:tblLook w:val="01E0"/>
        </w:tblPrEx>
        <w:trPr>
          <w:trHeight w:val="343"/>
        </w:trPr>
        <w:tc>
          <w:tcPr>
            <w:tcW w:w="2575" w:type="dxa"/>
          </w:tcPr>
          <w:p>
            <w:pPr>
              <w:pStyle w:val="TableParagraph"/>
              <w:spacing w:before="68"/>
              <w:ind w:left="10" w:right="6"/>
              <w:jc w:val="center"/>
              <w:rPr>
                <w:sz w:val="18"/>
              </w:rPr>
            </w:pPr>
            <w:r>
              <w:rPr>
                <w:spacing w:val="-2"/>
                <w:sz w:val="16"/>
              </w:rPr>
              <w:t>LowBattery</w:t>
            </w:r>
          </w:p>
        </w:tc>
        <w:tc>
          <w:tcPr>
            <w:tcW w:w="1862" w:type="dxa"/>
          </w:tcPr>
          <w:p>
            <w:pPr>
              <w:pStyle w:val="TableParagraph"/>
              <w:spacing w:before="70"/>
              <w:ind w:left="9" w:right="2"/>
              <w:jc w:val="center"/>
              <w:rPr>
                <w:sz w:val="18"/>
              </w:rPr>
            </w:pPr>
            <w:r>
              <w:rPr>
                <w:sz w:val="16"/>
              </w:rPr>
              <w:t xml:space="preserve">Nízká </w:t>
            </w:r>
            <w:r>
              <w:rPr>
                <w:spacing w:val="-2"/>
                <w:sz w:val="16"/>
              </w:rPr>
              <w:t>priorita</w:t>
            </w:r>
          </w:p>
        </w:tc>
        <w:tc>
          <w:tcPr>
            <w:tcW w:w="2496" w:type="dxa"/>
          </w:tcPr>
          <w:p>
            <w:pPr>
              <w:pStyle w:val="TableParagraph"/>
              <w:spacing w:before="70"/>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4"/>
        </w:trPr>
        <w:tc>
          <w:tcPr>
            <w:tcW w:w="2575" w:type="dxa"/>
          </w:tcPr>
          <w:p>
            <w:pPr>
              <w:pStyle w:val="TableParagraph"/>
              <w:spacing w:before="69"/>
              <w:ind w:left="10" w:right="4"/>
              <w:jc w:val="center"/>
              <w:rPr>
                <w:sz w:val="18"/>
              </w:rPr>
            </w:pPr>
            <w:r>
              <w:rPr>
                <w:spacing w:val="-2"/>
                <w:sz w:val="16"/>
              </w:rPr>
              <w:t>Před okluzí</w:t>
            </w:r>
          </w:p>
        </w:tc>
        <w:tc>
          <w:tcPr>
            <w:tcW w:w="1862" w:type="dxa"/>
          </w:tcPr>
          <w:p>
            <w:pPr>
              <w:pStyle w:val="TableParagraph"/>
              <w:spacing w:before="69"/>
              <w:ind w:left="9" w:right="2"/>
              <w:jc w:val="center"/>
              <w:rPr>
                <w:sz w:val="18"/>
              </w:rPr>
            </w:pPr>
            <w:r>
              <w:rPr>
                <w:sz w:val="16"/>
              </w:rPr>
              <w:t xml:space="preserve">Nízká </w:t>
            </w:r>
            <w:r>
              <w:rPr>
                <w:spacing w:val="-2"/>
                <w:sz w:val="16"/>
              </w:rPr>
              <w:t>priorita</w:t>
            </w:r>
          </w:p>
        </w:tc>
        <w:tc>
          <w:tcPr>
            <w:tcW w:w="2496" w:type="dxa"/>
          </w:tcPr>
          <w:p>
            <w:pPr>
              <w:pStyle w:val="TableParagraph"/>
              <w:spacing w:before="69"/>
              <w:ind w:left="7"/>
              <w:jc w:val="center"/>
              <w:rPr>
                <w:sz w:val="18"/>
              </w:rPr>
            </w:pPr>
            <w:r>
              <w:rPr>
                <w:sz w:val="16"/>
              </w:rPr>
              <w:t xml:space="preserve">Žlutá </w:t>
            </w:r>
            <w:r>
              <w:rPr>
                <w:sz w:val="16"/>
              </w:rPr>
              <w:t xml:space="preserve">kontrolka </w:t>
            </w:r>
            <w:r>
              <w:rPr>
                <w:spacing w:val="-5"/>
                <w:sz w:val="16"/>
              </w:rPr>
              <w:t xml:space="preserve">svítí </w:t>
            </w:r>
            <w:r>
              <w:rPr>
                <w:sz w:val="16"/>
              </w:rPr>
              <w:t>nepřetržitě</w:t>
            </w:r>
          </w:p>
        </w:tc>
      </w:tr>
      <w:tr>
        <w:tblPrEx>
          <w:tblW w:w="0" w:type="auto"/>
          <w:tblInd w:w="308" w:type="dxa"/>
          <w:tblLayout w:type="fixed"/>
          <w:tblLook w:val="01E0"/>
        </w:tblPrEx>
        <w:trPr>
          <w:trHeight w:val="344"/>
        </w:trPr>
        <w:tc>
          <w:tcPr>
            <w:tcW w:w="2575" w:type="dxa"/>
          </w:tcPr>
          <w:p>
            <w:pPr>
              <w:pStyle w:val="TableParagraph"/>
              <w:spacing w:before="68"/>
              <w:ind w:left="10" w:right="6"/>
              <w:jc w:val="center"/>
              <w:rPr>
                <w:sz w:val="18"/>
              </w:rPr>
            </w:pPr>
            <w:r>
              <w:rPr>
                <w:spacing w:val="-2"/>
                <w:sz w:val="16"/>
              </w:rPr>
              <w:t>Automatické vypnutí</w:t>
            </w:r>
          </w:p>
        </w:tc>
        <w:tc>
          <w:tcPr>
            <w:tcW w:w="1862" w:type="dxa"/>
          </w:tcPr>
          <w:p>
            <w:pPr>
              <w:pStyle w:val="TableParagraph"/>
              <w:spacing w:before="70"/>
              <w:ind w:left="9" w:right="2"/>
              <w:jc w:val="center"/>
              <w:rPr>
                <w:sz w:val="18"/>
              </w:rPr>
            </w:pPr>
            <w:r>
              <w:rPr>
                <w:sz w:val="16"/>
              </w:rPr>
              <w:t xml:space="preserve">Nízká </w:t>
            </w:r>
            <w:r>
              <w:rPr>
                <w:spacing w:val="-2"/>
                <w:sz w:val="16"/>
              </w:rPr>
              <w:t>priorita</w:t>
            </w:r>
          </w:p>
        </w:tc>
        <w:tc>
          <w:tcPr>
            <w:tcW w:w="2496" w:type="dxa"/>
          </w:tcPr>
          <w:p>
            <w:pPr>
              <w:pStyle w:val="TableParagraph"/>
              <w:spacing w:before="70"/>
              <w:ind w:left="7"/>
              <w:jc w:val="center"/>
              <w:rPr>
                <w:sz w:val="18"/>
              </w:rPr>
            </w:pPr>
            <w:r>
              <w:rPr>
                <w:sz w:val="16"/>
              </w:rPr>
              <w:t xml:space="preserve">Žluté </w:t>
            </w:r>
            <w:r>
              <w:rPr>
                <w:sz w:val="16"/>
              </w:rPr>
              <w:t xml:space="preserve">světlo </w:t>
            </w:r>
            <w:r>
              <w:rPr>
                <w:spacing w:val="-5"/>
                <w:sz w:val="16"/>
              </w:rPr>
              <w:t xml:space="preserve">svítí </w:t>
            </w:r>
            <w:r>
              <w:rPr>
                <w:sz w:val="16"/>
              </w:rPr>
              <w:t>nepřetržitě</w:t>
            </w:r>
          </w:p>
        </w:tc>
      </w:tr>
    </w:tbl>
    <w:p>
      <w:pPr>
        <w:pStyle w:val="BodyText"/>
        <w:spacing w:before="95"/>
        <w:ind w:left="0"/>
        <w:rPr>
          <w:b/>
          <w:sz w:val="20"/>
        </w:rPr>
      </w:pPr>
    </w:p>
    <w:p>
      <w:pPr>
        <w:pStyle w:val="Heading1"/>
        <w:spacing w:before="1"/>
        <w:ind w:left="295" w:firstLine="0"/>
      </w:pPr>
      <w:bookmarkStart w:id="108" w:name="Table 2 Alarm Condition and Alarm Signal"/>
      <w:bookmarkEnd w:id="108"/>
      <w:bookmarkStart w:id="109" w:name="_bookmark54"/>
      <w:bookmarkEnd w:id="109"/>
      <w:r>
        <w:rPr>
          <w:sz w:val="18"/>
        </w:rPr>
        <w:t>Tabulka</w:t>
      </w:r>
      <w:r>
        <w:rPr>
          <w:sz w:val="18"/>
        </w:rPr>
        <w:t xml:space="preserve"> 2 </w:t>
      </w:r>
      <w:r>
        <w:rPr>
          <w:sz w:val="18"/>
        </w:rPr>
        <w:t xml:space="preserve">Alarmové </w:t>
      </w:r>
      <w:r>
        <w:rPr>
          <w:sz w:val="18"/>
        </w:rPr>
        <w:t xml:space="preserve">stavy </w:t>
      </w:r>
      <w:r>
        <w:rPr>
          <w:sz w:val="18"/>
        </w:rPr>
        <w:t xml:space="preserve">a </w:t>
      </w:r>
      <w:r>
        <w:rPr>
          <w:spacing w:val="-2"/>
          <w:sz w:val="18"/>
        </w:rPr>
        <w:t xml:space="preserve">zpoždění </w:t>
      </w:r>
      <w:r>
        <w:rPr>
          <w:sz w:val="18"/>
        </w:rPr>
        <w:t xml:space="preserve">generování </w:t>
      </w:r>
      <w:r>
        <w:rPr>
          <w:sz w:val="18"/>
        </w:rPr>
        <w:t xml:space="preserve">alarmového </w:t>
      </w:r>
      <w:r>
        <w:rPr>
          <w:sz w:val="18"/>
        </w:rPr>
        <w:t>signálu</w:t>
      </w:r>
    </w:p>
    <w:p>
      <w:pPr>
        <w:pStyle w:val="BodyText"/>
        <w:spacing w:before="2"/>
        <w:ind w:left="0"/>
        <w:rPr>
          <w:b/>
          <w:sz w:val="8"/>
        </w:rPr>
      </w:pPr>
    </w:p>
    <w:tbl>
      <w:tblPr>
        <w:tblStyle w:val="TableNormal"/>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1706"/>
        <w:gridCol w:w="1939"/>
        <w:gridCol w:w="2446"/>
      </w:tblGrid>
      <w:tr>
        <w:tblPrEx>
          <w:tblW w:w="0" w:type="auto"/>
          <w:tblInd w:w="268" w:type="dxa"/>
          <w:tblLayout w:type="fixed"/>
          <w:tblLook w:val="01E0"/>
        </w:tblPrEx>
        <w:trPr>
          <w:trHeight w:val="320"/>
        </w:trPr>
        <w:tc>
          <w:tcPr>
            <w:tcW w:w="2628" w:type="dxa"/>
            <w:gridSpan w:val="2"/>
            <w:shd w:val="clear" w:color="auto" w:fill="DBEDF3"/>
          </w:tcPr>
          <w:p>
            <w:pPr>
              <w:pStyle w:val="TableParagraph"/>
              <w:spacing w:before="56"/>
              <w:ind w:left="564"/>
              <w:rPr>
                <w:sz w:val="18"/>
              </w:rPr>
            </w:pPr>
            <w:r>
              <w:rPr>
                <w:spacing w:val="-2"/>
                <w:sz w:val="16"/>
              </w:rPr>
              <w:t xml:space="preserve">Klasifikace </w:t>
            </w:r>
            <w:r>
              <w:rPr>
                <w:sz w:val="16"/>
              </w:rPr>
              <w:t>alarmů</w:t>
            </w:r>
          </w:p>
        </w:tc>
        <w:tc>
          <w:tcPr>
            <w:tcW w:w="1939" w:type="dxa"/>
            <w:shd w:val="clear" w:color="auto" w:fill="DBEDF3"/>
          </w:tcPr>
          <w:p>
            <w:pPr>
              <w:pStyle w:val="TableParagraph"/>
              <w:spacing w:before="56"/>
              <w:ind w:left="7" w:right="2"/>
              <w:jc w:val="center"/>
              <w:rPr>
                <w:sz w:val="18"/>
              </w:rPr>
            </w:pPr>
            <w:r>
              <w:rPr>
                <w:spacing w:val="-2"/>
                <w:sz w:val="16"/>
              </w:rPr>
              <w:t xml:space="preserve">Zpoždění </w:t>
            </w:r>
            <w:r>
              <w:rPr>
                <w:sz w:val="16"/>
              </w:rPr>
              <w:t xml:space="preserve">alarmového </w:t>
            </w:r>
            <w:r>
              <w:rPr>
                <w:sz w:val="16"/>
              </w:rPr>
              <w:t>stavu</w:t>
            </w:r>
          </w:p>
        </w:tc>
        <w:tc>
          <w:tcPr>
            <w:tcW w:w="2446" w:type="dxa"/>
            <w:shd w:val="clear" w:color="auto" w:fill="DBEDF3"/>
          </w:tcPr>
          <w:p>
            <w:pPr>
              <w:pStyle w:val="TableParagraph"/>
              <w:spacing w:before="56"/>
              <w:ind w:left="7"/>
              <w:jc w:val="center"/>
              <w:rPr>
                <w:sz w:val="18"/>
              </w:rPr>
            </w:pPr>
            <w:r>
              <w:rPr>
                <w:spacing w:val="-4"/>
                <w:sz w:val="16"/>
              </w:rPr>
              <w:t xml:space="preserve">Zpoždění </w:t>
            </w:r>
            <w:r>
              <w:rPr>
                <w:sz w:val="16"/>
              </w:rPr>
              <w:t xml:space="preserve">generování </w:t>
            </w:r>
            <w:r>
              <w:rPr>
                <w:sz w:val="16"/>
              </w:rPr>
              <w:t xml:space="preserve">alarmového </w:t>
            </w:r>
            <w:r>
              <w:rPr>
                <w:sz w:val="16"/>
              </w:rPr>
              <w:t>signálu</w:t>
            </w:r>
          </w:p>
        </w:tc>
      </w:tr>
      <w:tr>
        <w:tblPrEx>
          <w:tblW w:w="0" w:type="auto"/>
          <w:tblInd w:w="268" w:type="dxa"/>
          <w:tblLayout w:type="fixed"/>
          <w:tblLook w:val="01E0"/>
        </w:tblPrEx>
        <w:trPr>
          <w:trHeight w:val="634"/>
        </w:trPr>
        <w:tc>
          <w:tcPr>
            <w:tcW w:w="922" w:type="dxa"/>
            <w:vMerge w:val="restart"/>
          </w:tcPr>
          <w:p>
            <w:pPr>
              <w:pStyle w:val="TableParagraph"/>
              <w:rPr>
                <w:b/>
                <w:sz w:val="18"/>
              </w:rPr>
            </w:pPr>
          </w:p>
          <w:p>
            <w:pPr>
              <w:pStyle w:val="TableParagraph"/>
              <w:rPr>
                <w:b/>
                <w:sz w:val="18"/>
              </w:rPr>
            </w:pPr>
          </w:p>
          <w:p>
            <w:pPr>
              <w:pStyle w:val="TableParagraph"/>
              <w:rPr>
                <w:b/>
                <w:sz w:val="18"/>
              </w:rPr>
            </w:pPr>
          </w:p>
          <w:p>
            <w:pPr>
              <w:pStyle w:val="TableParagraph"/>
              <w:spacing w:before="77"/>
              <w:rPr>
                <w:b/>
                <w:sz w:val="18"/>
              </w:rPr>
            </w:pPr>
          </w:p>
          <w:p>
            <w:pPr>
              <w:pStyle w:val="TableParagraph"/>
              <w:spacing w:line="312" w:lineRule="auto"/>
              <w:ind w:left="125" w:right="116" w:firstLine="79"/>
              <w:rPr>
                <w:sz w:val="18"/>
              </w:rPr>
            </w:pPr>
            <w:r>
              <w:rPr>
                <w:spacing w:val="-2"/>
                <w:sz w:val="16"/>
              </w:rPr>
              <w:t>Porucha zařízení</w:t>
            </w:r>
          </w:p>
        </w:tc>
        <w:tc>
          <w:tcPr>
            <w:tcW w:w="1706" w:type="dxa"/>
          </w:tcPr>
          <w:p>
            <w:pPr>
              <w:pStyle w:val="TableParagraph"/>
              <w:spacing w:before="103" w:line="256" w:lineRule="auto"/>
              <w:ind w:left="412" w:right="65" w:hanging="334"/>
              <w:rPr>
                <w:sz w:val="18"/>
              </w:rPr>
            </w:pPr>
            <w:r>
              <w:rPr>
                <w:spacing w:val="-2"/>
                <w:sz w:val="16"/>
              </w:rPr>
              <w:t xml:space="preserve">Chyba </w:t>
            </w:r>
            <w:r>
              <w:rPr>
                <w:sz w:val="16"/>
              </w:rPr>
              <w:t xml:space="preserve">datové </w:t>
            </w:r>
            <w:r>
              <w:rPr>
                <w:sz w:val="16"/>
              </w:rPr>
              <w:t xml:space="preserve">komunikace </w:t>
            </w:r>
            <w:r>
              <w:rPr>
                <w:spacing w:val="-2"/>
                <w:sz w:val="16"/>
              </w:rPr>
              <w:t>(0xE0)</w:t>
            </w:r>
          </w:p>
        </w:tc>
        <w:tc>
          <w:tcPr>
            <w:tcW w:w="1939" w:type="dxa"/>
          </w:tcPr>
          <w:p>
            <w:pPr>
              <w:pStyle w:val="TableParagraph"/>
              <w:spacing w:before="6"/>
              <w:rPr>
                <w:b/>
                <w:sz w:val="18"/>
              </w:rPr>
            </w:pPr>
          </w:p>
          <w:p>
            <w:pPr>
              <w:pStyle w:val="TableParagraph"/>
              <w:spacing w:before="1"/>
              <w:ind w:left="7"/>
              <w:jc w:val="center"/>
              <w:rPr>
                <w:sz w:val="18"/>
              </w:rPr>
            </w:pPr>
            <w:r>
              <w:rPr>
                <w:spacing w:val="-4"/>
                <w:sz w:val="16"/>
              </w:rPr>
              <w:t>10 ms</w:t>
            </w:r>
          </w:p>
        </w:tc>
        <w:tc>
          <w:tcPr>
            <w:tcW w:w="2446" w:type="dxa"/>
          </w:tcPr>
          <w:p>
            <w:pPr>
              <w:pStyle w:val="TableParagraph"/>
              <w:spacing w:before="6"/>
              <w:rPr>
                <w:b/>
                <w:sz w:val="18"/>
              </w:rPr>
            </w:pPr>
          </w:p>
          <w:p>
            <w:pPr>
              <w:pStyle w:val="TableParagraph"/>
              <w:spacing w:before="1"/>
              <w:ind w:left="7" w:right="1"/>
              <w:jc w:val="center"/>
              <w:rPr>
                <w:sz w:val="18"/>
              </w:rPr>
            </w:pPr>
            <w:r>
              <w:rPr>
                <w:spacing w:val="-2"/>
                <w:sz w:val="16"/>
              </w:rPr>
              <w:t>100 ms</w:t>
            </w:r>
          </w:p>
        </w:tc>
      </w:tr>
      <w:tr>
        <w:tblPrEx>
          <w:tblW w:w="0" w:type="auto"/>
          <w:tblInd w:w="268" w:type="dxa"/>
          <w:tblLayout w:type="fixed"/>
          <w:tblLook w:val="01E0"/>
        </w:tblPrEx>
        <w:trPr>
          <w:trHeight w:val="540"/>
        </w:trPr>
        <w:tc>
          <w:tcPr>
            <w:tcW w:w="922" w:type="dxa"/>
            <w:vMerge/>
            <w:tcBorders>
              <w:top w:val="nil"/>
            </w:tcBorders>
          </w:tcPr>
          <w:p>
            <w:pPr>
              <w:rPr>
                <w:sz w:val="2"/>
                <w:szCs w:val="2"/>
              </w:rPr>
            </w:pPr>
          </w:p>
        </w:tc>
        <w:tc>
          <w:tcPr>
            <w:tcW w:w="1706" w:type="dxa"/>
          </w:tcPr>
          <w:p>
            <w:pPr>
              <w:pStyle w:val="TableParagraph"/>
              <w:spacing w:before="57" w:line="256" w:lineRule="auto"/>
              <w:ind w:left="417" w:right="65" w:hanging="216"/>
              <w:rPr>
                <w:sz w:val="18"/>
              </w:rPr>
            </w:pPr>
            <w:r>
              <w:rPr>
                <w:spacing w:val="-2"/>
                <w:sz w:val="16"/>
              </w:rPr>
              <w:t xml:space="preserve">Porucha </w:t>
            </w:r>
            <w:r>
              <w:rPr>
                <w:spacing w:val="-2"/>
                <w:sz w:val="16"/>
              </w:rPr>
              <w:t xml:space="preserve">přenosové </w:t>
            </w:r>
            <w:r>
              <w:rPr>
                <w:spacing w:val="-2"/>
                <w:sz w:val="16"/>
              </w:rPr>
              <w:t>části (0xE1)</w:t>
            </w:r>
          </w:p>
        </w:tc>
        <w:tc>
          <w:tcPr>
            <w:tcW w:w="1939" w:type="dxa"/>
          </w:tcPr>
          <w:p>
            <w:pPr>
              <w:pStyle w:val="TableParagraph"/>
              <w:spacing w:before="167"/>
              <w:ind w:left="7"/>
              <w:jc w:val="center"/>
              <w:rPr>
                <w:sz w:val="18"/>
              </w:rPr>
            </w:pPr>
            <w:r>
              <w:rPr>
                <w:spacing w:val="-4"/>
                <w:sz w:val="16"/>
              </w:rPr>
              <w:t>10 ms</w:t>
            </w:r>
          </w:p>
        </w:tc>
        <w:tc>
          <w:tcPr>
            <w:tcW w:w="2446" w:type="dxa"/>
          </w:tcPr>
          <w:p>
            <w:pPr>
              <w:pStyle w:val="TableParagraph"/>
              <w:spacing w:before="167"/>
              <w:ind w:left="7" w:right="1"/>
              <w:jc w:val="center"/>
              <w:rPr>
                <w:sz w:val="18"/>
              </w:rPr>
            </w:pPr>
            <w:r>
              <w:rPr>
                <w:spacing w:val="-2"/>
                <w:sz w:val="16"/>
              </w:rPr>
              <w:t>100 ms</w:t>
            </w:r>
          </w:p>
        </w:tc>
      </w:tr>
      <w:tr>
        <w:tblPrEx>
          <w:tblW w:w="0" w:type="auto"/>
          <w:tblInd w:w="268" w:type="dxa"/>
          <w:tblLayout w:type="fixed"/>
          <w:tblLook w:val="01E0"/>
        </w:tblPrEx>
        <w:trPr>
          <w:trHeight w:val="540"/>
        </w:trPr>
        <w:tc>
          <w:tcPr>
            <w:tcW w:w="922" w:type="dxa"/>
            <w:vMerge/>
            <w:tcBorders>
              <w:top w:val="nil"/>
            </w:tcBorders>
          </w:tcPr>
          <w:p>
            <w:pPr>
              <w:rPr>
                <w:sz w:val="2"/>
                <w:szCs w:val="2"/>
              </w:rPr>
            </w:pPr>
          </w:p>
        </w:tc>
        <w:tc>
          <w:tcPr>
            <w:tcW w:w="1706" w:type="dxa"/>
          </w:tcPr>
          <w:p>
            <w:pPr>
              <w:pStyle w:val="TableParagraph"/>
              <w:spacing w:before="56" w:line="256" w:lineRule="auto"/>
              <w:ind w:left="417" w:right="229" w:hanging="173"/>
              <w:rPr>
                <w:sz w:val="18"/>
              </w:rPr>
            </w:pPr>
            <w:r>
              <w:rPr>
                <w:spacing w:val="-2"/>
                <w:sz w:val="16"/>
              </w:rPr>
              <w:t>Porucha</w:t>
            </w:r>
            <w:r>
              <w:rPr>
                <w:sz w:val="16"/>
              </w:rPr>
              <w:t xml:space="preserve"> provozu </w:t>
            </w:r>
            <w:r>
              <w:rPr>
                <w:sz w:val="16"/>
              </w:rPr>
              <w:t xml:space="preserve">motoru </w:t>
            </w:r>
            <w:r>
              <w:rPr>
                <w:spacing w:val="-2"/>
                <w:sz w:val="16"/>
              </w:rPr>
              <w:t>(0xE2)</w:t>
            </w:r>
          </w:p>
        </w:tc>
        <w:tc>
          <w:tcPr>
            <w:tcW w:w="1939" w:type="dxa"/>
          </w:tcPr>
          <w:p>
            <w:pPr>
              <w:pStyle w:val="TableParagraph"/>
              <w:spacing w:before="167"/>
              <w:ind w:left="7"/>
              <w:jc w:val="center"/>
              <w:rPr>
                <w:sz w:val="18"/>
              </w:rPr>
            </w:pPr>
            <w:r>
              <w:rPr>
                <w:spacing w:val="-4"/>
                <w:sz w:val="16"/>
              </w:rPr>
              <w:t>10 ms</w:t>
            </w:r>
          </w:p>
        </w:tc>
        <w:tc>
          <w:tcPr>
            <w:tcW w:w="2446" w:type="dxa"/>
          </w:tcPr>
          <w:p>
            <w:pPr>
              <w:pStyle w:val="TableParagraph"/>
              <w:spacing w:before="167"/>
              <w:ind w:left="7" w:right="1"/>
              <w:jc w:val="center"/>
              <w:rPr>
                <w:sz w:val="18"/>
              </w:rPr>
            </w:pPr>
            <w:r>
              <w:rPr>
                <w:spacing w:val="-2"/>
                <w:sz w:val="16"/>
              </w:rPr>
              <w:t>100 ms</w:t>
            </w:r>
          </w:p>
        </w:tc>
      </w:tr>
      <w:tr>
        <w:tblPrEx>
          <w:tblW w:w="0" w:type="auto"/>
          <w:tblInd w:w="268" w:type="dxa"/>
          <w:tblLayout w:type="fixed"/>
          <w:tblLook w:val="01E0"/>
        </w:tblPrEx>
        <w:trPr>
          <w:trHeight w:val="540"/>
        </w:trPr>
        <w:tc>
          <w:tcPr>
            <w:tcW w:w="922" w:type="dxa"/>
            <w:vMerge/>
            <w:tcBorders>
              <w:top w:val="nil"/>
            </w:tcBorders>
          </w:tcPr>
          <w:p>
            <w:pPr>
              <w:rPr>
                <w:sz w:val="2"/>
                <w:szCs w:val="2"/>
              </w:rPr>
            </w:pPr>
          </w:p>
        </w:tc>
        <w:tc>
          <w:tcPr>
            <w:tcW w:w="1706" w:type="dxa"/>
          </w:tcPr>
          <w:p>
            <w:pPr>
              <w:pStyle w:val="TableParagraph"/>
              <w:spacing w:before="56" w:line="256" w:lineRule="auto"/>
              <w:ind w:left="417" w:right="394" w:hanging="8"/>
              <w:rPr>
                <w:sz w:val="18"/>
              </w:rPr>
            </w:pPr>
            <w:r>
              <w:rPr>
                <w:spacing w:val="-2"/>
                <w:sz w:val="16"/>
              </w:rPr>
              <w:t xml:space="preserve">Porucha </w:t>
            </w:r>
            <w:r>
              <w:rPr>
                <w:sz w:val="16"/>
              </w:rPr>
              <w:t xml:space="preserve">úložné </w:t>
            </w:r>
            <w:r>
              <w:rPr>
                <w:sz w:val="16"/>
              </w:rPr>
              <w:t xml:space="preserve">části </w:t>
            </w:r>
            <w:r>
              <w:rPr>
                <w:spacing w:val="-2"/>
                <w:sz w:val="16"/>
              </w:rPr>
              <w:t>(0xE3)</w:t>
            </w:r>
          </w:p>
        </w:tc>
        <w:tc>
          <w:tcPr>
            <w:tcW w:w="1939" w:type="dxa"/>
          </w:tcPr>
          <w:p>
            <w:pPr>
              <w:pStyle w:val="TableParagraph"/>
              <w:spacing w:before="166"/>
              <w:ind w:left="7"/>
              <w:jc w:val="center"/>
              <w:rPr>
                <w:sz w:val="18"/>
              </w:rPr>
            </w:pPr>
            <w:r>
              <w:rPr>
                <w:spacing w:val="-4"/>
                <w:sz w:val="16"/>
              </w:rPr>
              <w:t>10 ms</w:t>
            </w:r>
          </w:p>
        </w:tc>
        <w:tc>
          <w:tcPr>
            <w:tcW w:w="2446" w:type="dxa"/>
          </w:tcPr>
          <w:p>
            <w:pPr>
              <w:pStyle w:val="TableParagraph"/>
              <w:spacing w:before="166"/>
              <w:ind w:left="7" w:right="1"/>
              <w:jc w:val="center"/>
              <w:rPr>
                <w:sz w:val="18"/>
              </w:rPr>
            </w:pPr>
            <w:r>
              <w:rPr>
                <w:spacing w:val="-2"/>
                <w:sz w:val="16"/>
              </w:rPr>
              <w:t>100 ms</w:t>
            </w:r>
          </w:p>
        </w:tc>
      </w:tr>
      <w:tr>
        <w:tblPrEx>
          <w:tblW w:w="0" w:type="auto"/>
          <w:tblInd w:w="268" w:type="dxa"/>
          <w:tblLayout w:type="fixed"/>
          <w:tblLook w:val="01E0"/>
        </w:tblPrEx>
        <w:trPr>
          <w:trHeight w:val="319"/>
        </w:trPr>
        <w:tc>
          <w:tcPr>
            <w:tcW w:w="2628" w:type="dxa"/>
            <w:gridSpan w:val="2"/>
          </w:tcPr>
          <w:p>
            <w:pPr>
              <w:pStyle w:val="TableParagraph"/>
              <w:spacing w:before="56"/>
              <w:ind w:left="794"/>
              <w:rPr>
                <w:sz w:val="18"/>
              </w:rPr>
            </w:pPr>
            <w:r>
              <w:rPr>
                <w:spacing w:val="-2"/>
                <w:sz w:val="16"/>
              </w:rPr>
              <w:t xml:space="preserve">Chyba </w:t>
            </w:r>
            <w:r>
              <w:rPr>
                <w:sz w:val="16"/>
              </w:rPr>
              <w:t>tlaku</w:t>
            </w:r>
          </w:p>
        </w:tc>
        <w:tc>
          <w:tcPr>
            <w:tcW w:w="1939" w:type="dxa"/>
          </w:tcPr>
          <w:p>
            <w:pPr>
              <w:pStyle w:val="TableParagraph"/>
              <w:spacing w:before="56"/>
              <w:ind w:left="7"/>
              <w:jc w:val="center"/>
              <w:rPr>
                <w:sz w:val="18"/>
              </w:rPr>
            </w:pPr>
            <w:r>
              <w:rPr>
                <w:spacing w:val="-4"/>
                <w:sz w:val="16"/>
              </w:rPr>
              <w:t>10 ms</w:t>
            </w:r>
          </w:p>
        </w:tc>
        <w:tc>
          <w:tcPr>
            <w:tcW w:w="2446" w:type="dxa"/>
          </w:tcPr>
          <w:p>
            <w:pPr>
              <w:pStyle w:val="TableParagraph"/>
              <w:spacing w:before="56"/>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7"/>
              <w:ind w:left="9"/>
              <w:jc w:val="center"/>
              <w:rPr>
                <w:sz w:val="18"/>
              </w:rPr>
            </w:pPr>
            <w:r>
              <w:rPr>
                <w:spacing w:val="-2"/>
                <w:sz w:val="16"/>
              </w:rPr>
              <w:t>Vykloubení</w:t>
            </w:r>
          </w:p>
        </w:tc>
        <w:tc>
          <w:tcPr>
            <w:tcW w:w="1939" w:type="dxa"/>
          </w:tcPr>
          <w:p>
            <w:pPr>
              <w:pStyle w:val="TableParagraph"/>
              <w:spacing w:before="57"/>
              <w:ind w:left="7"/>
              <w:jc w:val="center"/>
              <w:rPr>
                <w:sz w:val="18"/>
              </w:rPr>
            </w:pPr>
            <w:r>
              <w:rPr>
                <w:spacing w:val="-4"/>
                <w:sz w:val="16"/>
              </w:rPr>
              <w:t>10 ms</w:t>
            </w:r>
          </w:p>
        </w:tc>
        <w:tc>
          <w:tcPr>
            <w:tcW w:w="2446" w:type="dxa"/>
          </w:tcPr>
          <w:p>
            <w:pPr>
              <w:pStyle w:val="TableParagraph"/>
              <w:spacing w:before="57"/>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6"/>
              <w:ind w:left="9" w:right="3"/>
              <w:jc w:val="center"/>
              <w:rPr>
                <w:sz w:val="18"/>
              </w:rPr>
            </w:pPr>
            <w:r>
              <w:rPr>
                <w:sz w:val="16"/>
              </w:rPr>
              <w:t xml:space="preserve">Rukojeť </w:t>
            </w:r>
            <w:r>
              <w:rPr>
                <w:spacing w:val="-5"/>
                <w:sz w:val="16"/>
              </w:rPr>
              <w:t>mimo</w:t>
            </w:r>
          </w:p>
        </w:tc>
        <w:tc>
          <w:tcPr>
            <w:tcW w:w="1939" w:type="dxa"/>
          </w:tcPr>
          <w:p>
            <w:pPr>
              <w:pStyle w:val="TableParagraph"/>
              <w:spacing w:before="56"/>
              <w:ind w:left="7"/>
              <w:jc w:val="center"/>
              <w:rPr>
                <w:sz w:val="18"/>
              </w:rPr>
            </w:pPr>
            <w:r>
              <w:rPr>
                <w:spacing w:val="-4"/>
                <w:sz w:val="16"/>
              </w:rPr>
              <w:t>10 ms</w:t>
            </w:r>
          </w:p>
        </w:tc>
        <w:tc>
          <w:tcPr>
            <w:tcW w:w="2446" w:type="dxa"/>
          </w:tcPr>
          <w:p>
            <w:pPr>
              <w:pStyle w:val="TableParagraph"/>
              <w:spacing w:before="56"/>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7"/>
              <w:ind w:left="9" w:right="2"/>
              <w:jc w:val="center"/>
              <w:rPr>
                <w:sz w:val="18"/>
              </w:rPr>
            </w:pPr>
            <w:r>
              <w:rPr>
                <w:spacing w:val="-2"/>
                <w:sz w:val="16"/>
              </w:rPr>
              <w:t>Odpojeno</w:t>
            </w:r>
          </w:p>
        </w:tc>
        <w:tc>
          <w:tcPr>
            <w:tcW w:w="1939" w:type="dxa"/>
          </w:tcPr>
          <w:p>
            <w:pPr>
              <w:pStyle w:val="TableParagraph"/>
              <w:spacing w:before="57"/>
              <w:ind w:left="7"/>
              <w:jc w:val="center"/>
              <w:rPr>
                <w:sz w:val="18"/>
              </w:rPr>
            </w:pPr>
            <w:r>
              <w:rPr>
                <w:spacing w:val="-4"/>
                <w:sz w:val="16"/>
              </w:rPr>
              <w:t>10 ms</w:t>
            </w:r>
          </w:p>
        </w:tc>
        <w:tc>
          <w:tcPr>
            <w:tcW w:w="2446" w:type="dxa"/>
          </w:tcPr>
          <w:p>
            <w:pPr>
              <w:pStyle w:val="TableParagraph"/>
              <w:spacing w:before="57"/>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6"/>
              <w:ind w:left="9" w:right="3"/>
              <w:jc w:val="center"/>
              <w:rPr>
                <w:sz w:val="18"/>
              </w:rPr>
            </w:pPr>
            <w:r>
              <w:rPr>
                <w:spacing w:val="-2"/>
                <w:sz w:val="16"/>
              </w:rPr>
              <w:t>Stříkačka vypnutá</w:t>
            </w:r>
          </w:p>
        </w:tc>
        <w:tc>
          <w:tcPr>
            <w:tcW w:w="1939" w:type="dxa"/>
          </w:tcPr>
          <w:p>
            <w:pPr>
              <w:pStyle w:val="TableParagraph"/>
              <w:spacing w:before="56"/>
              <w:ind w:left="7"/>
              <w:jc w:val="center"/>
              <w:rPr>
                <w:sz w:val="18"/>
              </w:rPr>
            </w:pPr>
            <w:r>
              <w:rPr>
                <w:spacing w:val="-4"/>
                <w:sz w:val="16"/>
              </w:rPr>
              <w:t>10 ms</w:t>
            </w:r>
          </w:p>
        </w:tc>
        <w:tc>
          <w:tcPr>
            <w:tcW w:w="2446" w:type="dxa"/>
          </w:tcPr>
          <w:p>
            <w:pPr>
              <w:pStyle w:val="TableParagraph"/>
              <w:spacing w:before="56"/>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7"/>
              <w:ind w:left="9"/>
              <w:jc w:val="center"/>
              <w:rPr>
                <w:sz w:val="18"/>
              </w:rPr>
            </w:pPr>
            <w:r>
              <w:rPr>
                <w:spacing w:val="-2"/>
                <w:sz w:val="16"/>
              </w:rPr>
              <w:t>Okluze</w:t>
            </w:r>
          </w:p>
        </w:tc>
        <w:tc>
          <w:tcPr>
            <w:tcW w:w="1939" w:type="dxa"/>
          </w:tcPr>
          <w:p>
            <w:pPr>
              <w:pStyle w:val="TableParagraph"/>
              <w:spacing w:before="57"/>
              <w:ind w:left="7"/>
              <w:jc w:val="center"/>
              <w:rPr>
                <w:sz w:val="18"/>
              </w:rPr>
            </w:pPr>
            <w:r>
              <w:rPr>
                <w:spacing w:val="-4"/>
                <w:sz w:val="16"/>
              </w:rPr>
              <w:t>10 ms</w:t>
            </w:r>
          </w:p>
        </w:tc>
        <w:tc>
          <w:tcPr>
            <w:tcW w:w="2446" w:type="dxa"/>
          </w:tcPr>
          <w:p>
            <w:pPr>
              <w:pStyle w:val="TableParagraph"/>
              <w:spacing w:before="57"/>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6"/>
              <w:ind w:left="734"/>
              <w:rPr>
                <w:sz w:val="18"/>
              </w:rPr>
            </w:pPr>
            <w:r>
              <w:rPr>
                <w:spacing w:val="-2"/>
                <w:sz w:val="16"/>
              </w:rPr>
              <w:t xml:space="preserve">Vybití </w:t>
            </w:r>
            <w:r>
              <w:rPr>
                <w:sz w:val="16"/>
              </w:rPr>
              <w:t>baterie</w:t>
            </w:r>
          </w:p>
        </w:tc>
        <w:tc>
          <w:tcPr>
            <w:tcW w:w="1939" w:type="dxa"/>
          </w:tcPr>
          <w:p>
            <w:pPr>
              <w:pStyle w:val="TableParagraph"/>
              <w:spacing w:before="56"/>
              <w:ind w:left="7"/>
              <w:jc w:val="center"/>
              <w:rPr>
                <w:sz w:val="18"/>
              </w:rPr>
            </w:pPr>
            <w:r>
              <w:rPr>
                <w:spacing w:val="-4"/>
                <w:sz w:val="16"/>
              </w:rPr>
              <w:t>10 ms</w:t>
            </w:r>
          </w:p>
        </w:tc>
        <w:tc>
          <w:tcPr>
            <w:tcW w:w="2446" w:type="dxa"/>
          </w:tcPr>
          <w:p>
            <w:pPr>
              <w:pStyle w:val="TableParagraph"/>
              <w:spacing w:before="56"/>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7"/>
              <w:ind w:left="821"/>
              <w:rPr>
                <w:sz w:val="18"/>
              </w:rPr>
            </w:pPr>
            <w:r>
              <w:rPr>
                <w:spacing w:val="-2"/>
                <w:sz w:val="16"/>
              </w:rPr>
              <w:t xml:space="preserve">Chyba </w:t>
            </w:r>
            <w:r>
              <w:rPr>
                <w:sz w:val="16"/>
              </w:rPr>
              <w:t>injekční stříkačky</w:t>
            </w:r>
          </w:p>
        </w:tc>
        <w:tc>
          <w:tcPr>
            <w:tcW w:w="1939" w:type="dxa"/>
          </w:tcPr>
          <w:p>
            <w:pPr>
              <w:pStyle w:val="TableParagraph"/>
              <w:spacing w:before="57"/>
              <w:ind w:left="7"/>
              <w:jc w:val="center"/>
              <w:rPr>
                <w:sz w:val="18"/>
              </w:rPr>
            </w:pPr>
            <w:r>
              <w:rPr>
                <w:spacing w:val="-4"/>
                <w:sz w:val="16"/>
              </w:rPr>
              <w:t>10 ms</w:t>
            </w:r>
          </w:p>
        </w:tc>
        <w:tc>
          <w:tcPr>
            <w:tcW w:w="2446" w:type="dxa"/>
          </w:tcPr>
          <w:p>
            <w:pPr>
              <w:pStyle w:val="TableParagraph"/>
              <w:spacing w:before="57"/>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6"/>
              <w:ind w:left="9" w:right="1"/>
              <w:jc w:val="center"/>
              <w:rPr>
                <w:sz w:val="18"/>
              </w:rPr>
            </w:pPr>
            <w:r>
              <w:rPr>
                <w:spacing w:val="-2"/>
                <w:sz w:val="16"/>
              </w:rPr>
              <w:t xml:space="preserve">Chyba </w:t>
            </w:r>
            <w:r>
              <w:rPr>
                <w:sz w:val="16"/>
              </w:rPr>
              <w:t>značky</w:t>
            </w:r>
          </w:p>
        </w:tc>
        <w:tc>
          <w:tcPr>
            <w:tcW w:w="1939" w:type="dxa"/>
          </w:tcPr>
          <w:p>
            <w:pPr>
              <w:pStyle w:val="TableParagraph"/>
              <w:spacing w:before="56"/>
              <w:ind w:left="7"/>
              <w:jc w:val="center"/>
              <w:rPr>
                <w:sz w:val="18"/>
              </w:rPr>
            </w:pPr>
            <w:r>
              <w:rPr>
                <w:spacing w:val="-4"/>
                <w:sz w:val="16"/>
              </w:rPr>
              <w:t>10 ms</w:t>
            </w:r>
          </w:p>
        </w:tc>
        <w:tc>
          <w:tcPr>
            <w:tcW w:w="2446" w:type="dxa"/>
          </w:tcPr>
          <w:p>
            <w:pPr>
              <w:pStyle w:val="TableParagraph"/>
              <w:spacing w:before="56"/>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7"/>
              <w:ind w:left="9"/>
              <w:jc w:val="center"/>
              <w:rPr>
                <w:sz w:val="18"/>
              </w:rPr>
            </w:pPr>
            <w:r>
              <w:rPr>
                <w:spacing w:val="-4"/>
                <w:sz w:val="16"/>
              </w:rPr>
              <w:t>Prázdné</w:t>
            </w:r>
          </w:p>
        </w:tc>
        <w:tc>
          <w:tcPr>
            <w:tcW w:w="1939" w:type="dxa"/>
          </w:tcPr>
          <w:p>
            <w:pPr>
              <w:pStyle w:val="TableParagraph"/>
              <w:spacing w:before="57"/>
              <w:ind w:left="7"/>
              <w:jc w:val="center"/>
              <w:rPr>
                <w:sz w:val="18"/>
              </w:rPr>
            </w:pPr>
            <w:r>
              <w:rPr>
                <w:spacing w:val="-4"/>
                <w:sz w:val="16"/>
              </w:rPr>
              <w:t>10 ms</w:t>
            </w:r>
          </w:p>
        </w:tc>
        <w:tc>
          <w:tcPr>
            <w:tcW w:w="2446" w:type="dxa"/>
          </w:tcPr>
          <w:p>
            <w:pPr>
              <w:pStyle w:val="TableParagraph"/>
              <w:spacing w:before="57"/>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6"/>
              <w:ind w:left="9"/>
              <w:jc w:val="center"/>
              <w:rPr>
                <w:sz w:val="18"/>
              </w:rPr>
            </w:pPr>
            <w:r>
              <w:rPr>
                <w:spacing w:val="-2"/>
                <w:sz w:val="16"/>
              </w:rPr>
              <w:t>Dokončeno</w:t>
            </w:r>
          </w:p>
        </w:tc>
        <w:tc>
          <w:tcPr>
            <w:tcW w:w="1939" w:type="dxa"/>
          </w:tcPr>
          <w:p>
            <w:pPr>
              <w:pStyle w:val="TableParagraph"/>
              <w:spacing w:before="56"/>
              <w:ind w:left="7"/>
              <w:jc w:val="center"/>
              <w:rPr>
                <w:sz w:val="18"/>
              </w:rPr>
            </w:pPr>
            <w:r>
              <w:rPr>
                <w:spacing w:val="-4"/>
                <w:sz w:val="16"/>
              </w:rPr>
              <w:t>10 ms</w:t>
            </w:r>
          </w:p>
        </w:tc>
        <w:tc>
          <w:tcPr>
            <w:tcW w:w="2446" w:type="dxa"/>
          </w:tcPr>
          <w:p>
            <w:pPr>
              <w:pStyle w:val="TableParagraph"/>
              <w:spacing w:before="56"/>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7"/>
              <w:ind w:left="475"/>
              <w:rPr>
                <w:sz w:val="18"/>
              </w:rPr>
            </w:pPr>
            <w:r>
              <w:rPr>
                <w:spacing w:val="-2"/>
                <w:sz w:val="16"/>
              </w:rPr>
              <w:t xml:space="preserve">Selhání </w:t>
            </w:r>
            <w:r>
              <w:rPr>
                <w:sz w:val="16"/>
              </w:rPr>
              <w:t>komunikace</w:t>
            </w:r>
          </w:p>
        </w:tc>
        <w:tc>
          <w:tcPr>
            <w:tcW w:w="1939" w:type="dxa"/>
          </w:tcPr>
          <w:p>
            <w:pPr>
              <w:pStyle w:val="TableParagraph"/>
              <w:spacing w:before="57"/>
              <w:ind w:left="7"/>
              <w:jc w:val="center"/>
              <w:rPr>
                <w:sz w:val="18"/>
              </w:rPr>
            </w:pPr>
            <w:r>
              <w:rPr>
                <w:spacing w:val="-4"/>
                <w:sz w:val="16"/>
              </w:rPr>
              <w:t>10 ms</w:t>
            </w:r>
          </w:p>
        </w:tc>
        <w:tc>
          <w:tcPr>
            <w:tcW w:w="2446" w:type="dxa"/>
          </w:tcPr>
          <w:p>
            <w:pPr>
              <w:pStyle w:val="TableParagraph"/>
              <w:spacing w:before="57"/>
              <w:ind w:left="7" w:right="1"/>
              <w:jc w:val="center"/>
              <w:rPr>
                <w:sz w:val="18"/>
              </w:rPr>
            </w:pPr>
            <w:r>
              <w:rPr>
                <w:spacing w:val="-2"/>
                <w:sz w:val="16"/>
              </w:rPr>
              <w:t>100 ms</w:t>
            </w:r>
          </w:p>
        </w:tc>
      </w:tr>
      <w:tr>
        <w:tblPrEx>
          <w:tblW w:w="0" w:type="auto"/>
          <w:tblInd w:w="268" w:type="dxa"/>
          <w:tblLayout w:type="fixed"/>
          <w:tblLook w:val="01E0"/>
        </w:tblPrEx>
        <w:trPr>
          <w:trHeight w:val="320"/>
        </w:trPr>
        <w:tc>
          <w:tcPr>
            <w:tcW w:w="2628" w:type="dxa"/>
            <w:gridSpan w:val="2"/>
          </w:tcPr>
          <w:p>
            <w:pPr>
              <w:pStyle w:val="TableParagraph"/>
              <w:spacing w:before="56"/>
              <w:ind w:left="9" w:right="4"/>
              <w:jc w:val="center"/>
              <w:rPr>
                <w:sz w:val="18"/>
              </w:rPr>
            </w:pPr>
            <w:r>
              <w:rPr>
                <w:spacing w:val="-4"/>
                <w:sz w:val="16"/>
              </w:rPr>
              <w:t xml:space="preserve">Porucha </w:t>
            </w:r>
            <w:r>
              <w:rPr>
                <w:sz w:val="16"/>
              </w:rPr>
              <w:t>baterie</w:t>
            </w:r>
          </w:p>
        </w:tc>
        <w:tc>
          <w:tcPr>
            <w:tcW w:w="1939" w:type="dxa"/>
          </w:tcPr>
          <w:p>
            <w:pPr>
              <w:pStyle w:val="TableParagraph"/>
              <w:spacing w:before="56"/>
              <w:ind w:left="7"/>
              <w:jc w:val="center"/>
              <w:rPr>
                <w:sz w:val="18"/>
              </w:rPr>
            </w:pPr>
            <w:r>
              <w:rPr>
                <w:spacing w:val="-4"/>
                <w:sz w:val="16"/>
              </w:rPr>
              <w:t>20 ms</w:t>
            </w:r>
          </w:p>
        </w:tc>
        <w:tc>
          <w:tcPr>
            <w:tcW w:w="2446" w:type="dxa"/>
          </w:tcPr>
          <w:p>
            <w:pPr>
              <w:pStyle w:val="TableParagraph"/>
              <w:spacing w:before="56"/>
              <w:ind w:left="7" w:right="1"/>
              <w:jc w:val="center"/>
              <w:rPr>
                <w:sz w:val="18"/>
              </w:rPr>
            </w:pPr>
            <w:r>
              <w:rPr>
                <w:spacing w:val="-2"/>
                <w:sz w:val="16"/>
              </w:rPr>
              <w:t>200 ms</w:t>
            </w:r>
          </w:p>
        </w:tc>
      </w:tr>
      <w:tr>
        <w:tblPrEx>
          <w:tblW w:w="0" w:type="auto"/>
          <w:tblInd w:w="268" w:type="dxa"/>
          <w:tblLayout w:type="fixed"/>
          <w:tblLook w:val="01E0"/>
        </w:tblPrEx>
        <w:trPr>
          <w:trHeight w:val="320"/>
        </w:trPr>
        <w:tc>
          <w:tcPr>
            <w:tcW w:w="2628" w:type="dxa"/>
            <w:gridSpan w:val="2"/>
          </w:tcPr>
          <w:p>
            <w:pPr>
              <w:pStyle w:val="TableParagraph"/>
              <w:spacing w:before="57"/>
              <w:ind w:left="876"/>
              <w:rPr>
                <w:sz w:val="18"/>
              </w:rPr>
            </w:pPr>
            <w:r>
              <w:rPr>
                <w:sz w:val="16"/>
              </w:rPr>
              <w:t xml:space="preserve">Téměř </w:t>
            </w:r>
            <w:r>
              <w:rPr>
                <w:spacing w:val="-2"/>
                <w:sz w:val="16"/>
              </w:rPr>
              <w:t>vybitá</w:t>
            </w:r>
          </w:p>
        </w:tc>
        <w:tc>
          <w:tcPr>
            <w:tcW w:w="1939" w:type="dxa"/>
          </w:tcPr>
          <w:p>
            <w:pPr>
              <w:pStyle w:val="TableParagraph"/>
              <w:spacing w:before="57"/>
              <w:ind w:left="7"/>
              <w:jc w:val="center"/>
              <w:rPr>
                <w:sz w:val="18"/>
              </w:rPr>
            </w:pPr>
            <w:r>
              <w:rPr>
                <w:spacing w:val="-4"/>
                <w:sz w:val="16"/>
              </w:rPr>
              <w:t>20 ms</w:t>
            </w:r>
          </w:p>
        </w:tc>
        <w:tc>
          <w:tcPr>
            <w:tcW w:w="2446" w:type="dxa"/>
          </w:tcPr>
          <w:p>
            <w:pPr>
              <w:pStyle w:val="TableParagraph"/>
              <w:spacing w:before="57"/>
              <w:ind w:left="7" w:right="1"/>
              <w:jc w:val="center"/>
              <w:rPr>
                <w:sz w:val="18"/>
              </w:rPr>
            </w:pPr>
            <w:r>
              <w:rPr>
                <w:spacing w:val="-2"/>
                <w:sz w:val="16"/>
              </w:rPr>
              <w:t>200 ms</w:t>
            </w:r>
          </w:p>
        </w:tc>
      </w:tr>
      <w:tr>
        <w:tblPrEx>
          <w:tblW w:w="0" w:type="auto"/>
          <w:tblInd w:w="268" w:type="dxa"/>
          <w:tblLayout w:type="fixed"/>
          <w:tblLook w:val="01E0"/>
        </w:tblPrEx>
        <w:trPr>
          <w:trHeight w:val="320"/>
        </w:trPr>
        <w:tc>
          <w:tcPr>
            <w:tcW w:w="2628" w:type="dxa"/>
            <w:gridSpan w:val="2"/>
          </w:tcPr>
          <w:p>
            <w:pPr>
              <w:pStyle w:val="TableParagraph"/>
              <w:spacing w:before="56"/>
              <w:ind w:left="864"/>
              <w:rPr>
                <w:sz w:val="18"/>
              </w:rPr>
            </w:pPr>
            <w:r>
              <w:rPr>
                <w:spacing w:val="-5"/>
                <w:sz w:val="16"/>
              </w:rPr>
              <w:t xml:space="preserve">Konec </w:t>
            </w:r>
            <w:r>
              <w:rPr>
                <w:sz w:val="16"/>
              </w:rPr>
              <w:t>pohotovostního režimu</w:t>
            </w:r>
          </w:p>
        </w:tc>
        <w:tc>
          <w:tcPr>
            <w:tcW w:w="1939" w:type="dxa"/>
          </w:tcPr>
          <w:p>
            <w:pPr>
              <w:pStyle w:val="TableParagraph"/>
              <w:spacing w:before="56"/>
              <w:ind w:left="7"/>
              <w:jc w:val="center"/>
              <w:rPr>
                <w:sz w:val="18"/>
              </w:rPr>
            </w:pPr>
            <w:r>
              <w:rPr>
                <w:spacing w:val="-4"/>
                <w:sz w:val="16"/>
              </w:rPr>
              <w:t>20 ms</w:t>
            </w:r>
          </w:p>
        </w:tc>
        <w:tc>
          <w:tcPr>
            <w:tcW w:w="2446" w:type="dxa"/>
          </w:tcPr>
          <w:p>
            <w:pPr>
              <w:pStyle w:val="TableParagraph"/>
              <w:spacing w:before="56"/>
              <w:ind w:left="7" w:right="1"/>
              <w:jc w:val="center"/>
              <w:rPr>
                <w:sz w:val="18"/>
              </w:rPr>
            </w:pPr>
            <w:r>
              <w:rPr>
                <w:spacing w:val="-2"/>
                <w:sz w:val="16"/>
              </w:rPr>
              <w:t>200 ms</w:t>
            </w:r>
          </w:p>
        </w:tc>
      </w:tr>
      <w:tr>
        <w:tblPrEx>
          <w:tblW w:w="0" w:type="auto"/>
          <w:tblInd w:w="268" w:type="dxa"/>
          <w:tblLayout w:type="fixed"/>
          <w:tblLook w:val="01E0"/>
        </w:tblPrEx>
        <w:trPr>
          <w:trHeight w:val="320"/>
        </w:trPr>
        <w:tc>
          <w:tcPr>
            <w:tcW w:w="2628" w:type="dxa"/>
            <w:gridSpan w:val="2"/>
          </w:tcPr>
          <w:p>
            <w:pPr>
              <w:pStyle w:val="TableParagraph"/>
              <w:spacing w:before="57"/>
              <w:ind w:left="852"/>
              <w:rPr>
                <w:sz w:val="18"/>
              </w:rPr>
            </w:pPr>
            <w:r>
              <w:rPr>
                <w:spacing w:val="-2"/>
                <w:sz w:val="16"/>
              </w:rPr>
              <w:t>Téměř hotovo</w:t>
            </w:r>
          </w:p>
        </w:tc>
        <w:tc>
          <w:tcPr>
            <w:tcW w:w="1939" w:type="dxa"/>
          </w:tcPr>
          <w:p>
            <w:pPr>
              <w:pStyle w:val="TableParagraph"/>
              <w:spacing w:before="57"/>
              <w:ind w:left="7"/>
              <w:jc w:val="center"/>
              <w:rPr>
                <w:sz w:val="18"/>
              </w:rPr>
            </w:pPr>
            <w:r>
              <w:rPr>
                <w:spacing w:val="-4"/>
                <w:sz w:val="16"/>
              </w:rPr>
              <w:t>20 ms</w:t>
            </w:r>
          </w:p>
        </w:tc>
        <w:tc>
          <w:tcPr>
            <w:tcW w:w="2446" w:type="dxa"/>
          </w:tcPr>
          <w:p>
            <w:pPr>
              <w:pStyle w:val="TableParagraph"/>
              <w:spacing w:before="57"/>
              <w:ind w:left="7" w:right="1"/>
              <w:jc w:val="center"/>
              <w:rPr>
                <w:sz w:val="18"/>
              </w:rPr>
            </w:pPr>
            <w:r>
              <w:rPr>
                <w:spacing w:val="-2"/>
                <w:sz w:val="16"/>
              </w:rPr>
              <w:t>200 ms</w:t>
            </w:r>
          </w:p>
        </w:tc>
      </w:tr>
      <w:tr>
        <w:tblPrEx>
          <w:tblW w:w="0" w:type="auto"/>
          <w:tblInd w:w="268" w:type="dxa"/>
          <w:tblLayout w:type="fixed"/>
          <w:tblLook w:val="01E0"/>
        </w:tblPrEx>
        <w:trPr>
          <w:trHeight w:val="320"/>
        </w:trPr>
        <w:tc>
          <w:tcPr>
            <w:tcW w:w="2628" w:type="dxa"/>
            <w:gridSpan w:val="2"/>
          </w:tcPr>
          <w:p>
            <w:pPr>
              <w:pStyle w:val="TableParagraph"/>
              <w:spacing w:before="56"/>
              <w:ind w:left="9" w:right="1"/>
              <w:jc w:val="center"/>
              <w:rPr>
                <w:sz w:val="18"/>
              </w:rPr>
            </w:pPr>
            <w:r>
              <w:rPr>
                <w:spacing w:val="-4"/>
                <w:sz w:val="16"/>
              </w:rPr>
              <w:t xml:space="preserve">Selhání </w:t>
            </w:r>
            <w:r>
              <w:rPr>
                <w:sz w:val="16"/>
              </w:rPr>
              <w:t>střídavého proudu</w:t>
            </w:r>
          </w:p>
        </w:tc>
        <w:tc>
          <w:tcPr>
            <w:tcW w:w="1939" w:type="dxa"/>
          </w:tcPr>
          <w:p>
            <w:pPr>
              <w:pStyle w:val="TableParagraph"/>
              <w:spacing w:before="56"/>
              <w:ind w:left="7"/>
              <w:jc w:val="center"/>
              <w:rPr>
                <w:sz w:val="18"/>
              </w:rPr>
            </w:pPr>
            <w:r>
              <w:rPr>
                <w:spacing w:val="-4"/>
                <w:sz w:val="16"/>
              </w:rPr>
              <w:t>20 ms</w:t>
            </w:r>
          </w:p>
        </w:tc>
        <w:tc>
          <w:tcPr>
            <w:tcW w:w="2446" w:type="dxa"/>
          </w:tcPr>
          <w:p>
            <w:pPr>
              <w:pStyle w:val="TableParagraph"/>
              <w:spacing w:before="56"/>
              <w:ind w:left="7" w:right="1"/>
              <w:jc w:val="center"/>
              <w:rPr>
                <w:sz w:val="18"/>
              </w:rPr>
            </w:pPr>
            <w:r>
              <w:rPr>
                <w:spacing w:val="-2"/>
                <w:sz w:val="16"/>
              </w:rPr>
              <w:t>200 ms</w:t>
            </w:r>
          </w:p>
        </w:tc>
      </w:tr>
      <w:tr>
        <w:tblPrEx>
          <w:tblW w:w="0" w:type="auto"/>
          <w:tblInd w:w="268" w:type="dxa"/>
          <w:tblLayout w:type="fixed"/>
          <w:tblLook w:val="01E0"/>
        </w:tblPrEx>
        <w:trPr>
          <w:trHeight w:val="317"/>
        </w:trPr>
        <w:tc>
          <w:tcPr>
            <w:tcW w:w="2628" w:type="dxa"/>
            <w:gridSpan w:val="2"/>
          </w:tcPr>
          <w:p>
            <w:pPr>
              <w:pStyle w:val="TableParagraph"/>
              <w:spacing w:before="57"/>
              <w:ind w:left="9" w:right="2"/>
              <w:jc w:val="center"/>
              <w:rPr>
                <w:sz w:val="18"/>
              </w:rPr>
            </w:pPr>
            <w:r>
              <w:rPr>
                <w:sz w:val="16"/>
              </w:rPr>
              <w:t xml:space="preserve">Bez </w:t>
            </w:r>
            <w:r>
              <w:rPr>
                <w:spacing w:val="-2"/>
                <w:sz w:val="16"/>
              </w:rPr>
              <w:t>provozu</w:t>
            </w:r>
          </w:p>
        </w:tc>
        <w:tc>
          <w:tcPr>
            <w:tcW w:w="1939" w:type="dxa"/>
          </w:tcPr>
          <w:p>
            <w:pPr>
              <w:pStyle w:val="TableParagraph"/>
              <w:spacing w:before="57"/>
              <w:ind w:left="7"/>
              <w:jc w:val="center"/>
              <w:rPr>
                <w:sz w:val="18"/>
              </w:rPr>
            </w:pPr>
            <w:r>
              <w:rPr>
                <w:spacing w:val="-4"/>
                <w:sz w:val="16"/>
              </w:rPr>
              <w:t>20 ms</w:t>
            </w:r>
          </w:p>
        </w:tc>
        <w:tc>
          <w:tcPr>
            <w:tcW w:w="2446" w:type="dxa"/>
          </w:tcPr>
          <w:p>
            <w:pPr>
              <w:pStyle w:val="TableParagraph"/>
              <w:spacing w:before="57"/>
              <w:ind w:left="7" w:right="1"/>
              <w:jc w:val="center"/>
              <w:rPr>
                <w:sz w:val="18"/>
              </w:rPr>
            </w:pPr>
            <w:r>
              <w:rPr>
                <w:spacing w:val="-2"/>
                <w:sz w:val="16"/>
              </w:rPr>
              <w:t>200 ms</w:t>
            </w:r>
          </w:p>
        </w:tc>
      </w:tr>
    </w:tbl>
    <w:p>
      <w:pPr>
        <w:pStyle w:val="TableParagraph"/>
        <w:spacing w:after="0"/>
        <w:jc w:val="center"/>
        <w:rPr>
          <w:sz w:val="18"/>
        </w:rPr>
        <w:sectPr>
          <w:type w:val="continuous"/>
          <w:pgSz w:w="8390" w:h="11910"/>
          <w:pgMar w:top="700" w:right="425" w:bottom="758" w:left="425" w:header="0" w:footer="342"/>
          <w:cols w:space="708"/>
        </w:sectPr>
      </w:pPr>
    </w:p>
    <w:tbl>
      <w:tblPr>
        <w:tblStyle w:val="TableNormal"/>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1939"/>
        <w:gridCol w:w="2446"/>
      </w:tblGrid>
      <w:tr>
        <w:tblPrEx>
          <w:tblW w:w="0" w:type="auto"/>
          <w:tblInd w:w="268" w:type="dxa"/>
          <w:tblLayout w:type="fixed"/>
          <w:tblLook w:val="01E0"/>
        </w:tblPrEx>
        <w:trPr>
          <w:trHeight w:val="320"/>
        </w:trPr>
        <w:tc>
          <w:tcPr>
            <w:tcW w:w="2628" w:type="dxa"/>
          </w:tcPr>
          <w:p>
            <w:pPr>
              <w:pStyle w:val="TableParagraph"/>
              <w:spacing w:before="58"/>
              <w:ind w:left="9" w:right="4"/>
              <w:jc w:val="center"/>
              <w:rPr>
                <w:sz w:val="18"/>
              </w:rPr>
            </w:pPr>
            <w:r>
              <w:rPr>
                <w:spacing w:val="-2"/>
                <w:sz w:val="16"/>
              </w:rPr>
              <w:t>Použít baterii</w:t>
            </w:r>
          </w:p>
        </w:tc>
        <w:tc>
          <w:tcPr>
            <w:tcW w:w="1939" w:type="dxa"/>
          </w:tcPr>
          <w:p>
            <w:pPr>
              <w:pStyle w:val="TableParagraph"/>
              <w:spacing w:before="58"/>
              <w:ind w:left="7"/>
              <w:jc w:val="center"/>
              <w:rPr>
                <w:sz w:val="18"/>
              </w:rPr>
            </w:pPr>
            <w:r>
              <w:rPr>
                <w:spacing w:val="-4"/>
                <w:sz w:val="16"/>
              </w:rPr>
              <w:t>20 ms</w:t>
            </w:r>
          </w:p>
        </w:tc>
        <w:tc>
          <w:tcPr>
            <w:tcW w:w="2446" w:type="dxa"/>
          </w:tcPr>
          <w:p>
            <w:pPr>
              <w:pStyle w:val="TableParagraph"/>
              <w:spacing w:before="58"/>
              <w:ind w:left="7" w:right="1"/>
              <w:jc w:val="center"/>
              <w:rPr>
                <w:sz w:val="18"/>
              </w:rPr>
            </w:pPr>
            <w:r>
              <w:rPr>
                <w:spacing w:val="-2"/>
                <w:sz w:val="16"/>
              </w:rPr>
              <w:t>200 ms</w:t>
            </w:r>
          </w:p>
        </w:tc>
      </w:tr>
      <w:tr>
        <w:tblPrEx>
          <w:tblW w:w="0" w:type="auto"/>
          <w:tblInd w:w="268" w:type="dxa"/>
          <w:tblLayout w:type="fixed"/>
          <w:tblLook w:val="01E0"/>
        </w:tblPrEx>
        <w:trPr>
          <w:trHeight w:val="320"/>
        </w:trPr>
        <w:tc>
          <w:tcPr>
            <w:tcW w:w="2628" w:type="dxa"/>
          </w:tcPr>
          <w:p>
            <w:pPr>
              <w:pStyle w:val="TableParagraph"/>
              <w:spacing w:before="57"/>
              <w:ind w:left="9" w:right="2"/>
              <w:jc w:val="center"/>
              <w:rPr>
                <w:sz w:val="18"/>
              </w:rPr>
            </w:pPr>
            <w:r>
              <w:rPr>
                <w:spacing w:val="-2"/>
                <w:sz w:val="16"/>
              </w:rPr>
              <w:t>LowBattery</w:t>
            </w:r>
          </w:p>
        </w:tc>
        <w:tc>
          <w:tcPr>
            <w:tcW w:w="1939" w:type="dxa"/>
          </w:tcPr>
          <w:p>
            <w:pPr>
              <w:pStyle w:val="TableParagraph"/>
              <w:spacing w:before="57"/>
              <w:ind w:left="7"/>
              <w:jc w:val="center"/>
              <w:rPr>
                <w:sz w:val="18"/>
              </w:rPr>
            </w:pPr>
            <w:r>
              <w:rPr>
                <w:spacing w:val="-4"/>
                <w:sz w:val="16"/>
              </w:rPr>
              <w:t>20 ms</w:t>
            </w:r>
          </w:p>
        </w:tc>
        <w:tc>
          <w:tcPr>
            <w:tcW w:w="2446" w:type="dxa"/>
          </w:tcPr>
          <w:p>
            <w:pPr>
              <w:pStyle w:val="TableParagraph"/>
              <w:spacing w:before="57"/>
              <w:ind w:left="7" w:right="1"/>
              <w:jc w:val="center"/>
              <w:rPr>
                <w:sz w:val="18"/>
              </w:rPr>
            </w:pPr>
            <w:r>
              <w:rPr>
                <w:spacing w:val="-2"/>
                <w:sz w:val="16"/>
              </w:rPr>
              <w:t>200 ms</w:t>
            </w:r>
          </w:p>
        </w:tc>
      </w:tr>
      <w:tr>
        <w:tblPrEx>
          <w:tblW w:w="0" w:type="auto"/>
          <w:tblInd w:w="268" w:type="dxa"/>
          <w:tblLayout w:type="fixed"/>
          <w:tblLook w:val="01E0"/>
        </w:tblPrEx>
        <w:trPr>
          <w:trHeight w:val="320"/>
        </w:trPr>
        <w:tc>
          <w:tcPr>
            <w:tcW w:w="2628" w:type="dxa"/>
          </w:tcPr>
          <w:p>
            <w:pPr>
              <w:pStyle w:val="TableParagraph"/>
              <w:spacing w:before="58"/>
              <w:ind w:left="9"/>
              <w:jc w:val="center"/>
              <w:rPr>
                <w:sz w:val="18"/>
              </w:rPr>
            </w:pPr>
            <w:r>
              <w:rPr>
                <w:spacing w:val="-2"/>
                <w:sz w:val="16"/>
              </w:rPr>
              <w:t>Před okluzí</w:t>
            </w:r>
          </w:p>
        </w:tc>
        <w:tc>
          <w:tcPr>
            <w:tcW w:w="1939" w:type="dxa"/>
          </w:tcPr>
          <w:p>
            <w:pPr>
              <w:pStyle w:val="TableParagraph"/>
              <w:spacing w:before="58"/>
              <w:ind w:left="7"/>
              <w:jc w:val="center"/>
              <w:rPr>
                <w:sz w:val="18"/>
              </w:rPr>
            </w:pPr>
            <w:r>
              <w:rPr>
                <w:spacing w:val="-4"/>
                <w:sz w:val="16"/>
              </w:rPr>
              <w:t>20 ms</w:t>
            </w:r>
          </w:p>
        </w:tc>
        <w:tc>
          <w:tcPr>
            <w:tcW w:w="2446" w:type="dxa"/>
          </w:tcPr>
          <w:p>
            <w:pPr>
              <w:pStyle w:val="TableParagraph"/>
              <w:spacing w:before="58"/>
              <w:ind w:left="7" w:right="1"/>
              <w:jc w:val="center"/>
              <w:rPr>
                <w:sz w:val="18"/>
              </w:rPr>
            </w:pPr>
            <w:r>
              <w:rPr>
                <w:spacing w:val="-2"/>
                <w:sz w:val="16"/>
              </w:rPr>
              <w:t>200 ms</w:t>
            </w:r>
          </w:p>
        </w:tc>
      </w:tr>
      <w:tr>
        <w:tblPrEx>
          <w:tblW w:w="0" w:type="auto"/>
          <w:tblInd w:w="268" w:type="dxa"/>
          <w:tblLayout w:type="fixed"/>
          <w:tblLook w:val="01E0"/>
        </w:tblPrEx>
        <w:trPr>
          <w:trHeight w:val="320"/>
        </w:trPr>
        <w:tc>
          <w:tcPr>
            <w:tcW w:w="2628" w:type="dxa"/>
          </w:tcPr>
          <w:p>
            <w:pPr>
              <w:pStyle w:val="TableParagraph"/>
              <w:spacing w:before="57"/>
              <w:ind w:left="9" w:right="2"/>
              <w:jc w:val="center"/>
              <w:rPr>
                <w:sz w:val="18"/>
              </w:rPr>
            </w:pPr>
            <w:r>
              <w:rPr>
                <w:spacing w:val="-2"/>
                <w:sz w:val="16"/>
              </w:rPr>
              <w:t>Automatické vypnutí</w:t>
            </w:r>
          </w:p>
        </w:tc>
        <w:tc>
          <w:tcPr>
            <w:tcW w:w="1939" w:type="dxa"/>
          </w:tcPr>
          <w:p>
            <w:pPr>
              <w:pStyle w:val="TableParagraph"/>
              <w:spacing w:before="57"/>
              <w:ind w:left="7"/>
              <w:jc w:val="center"/>
              <w:rPr>
                <w:sz w:val="18"/>
              </w:rPr>
            </w:pPr>
            <w:r>
              <w:rPr>
                <w:spacing w:val="-4"/>
                <w:sz w:val="16"/>
              </w:rPr>
              <w:t>20 ms</w:t>
            </w:r>
          </w:p>
        </w:tc>
        <w:tc>
          <w:tcPr>
            <w:tcW w:w="2446" w:type="dxa"/>
          </w:tcPr>
          <w:p>
            <w:pPr>
              <w:pStyle w:val="TableParagraph"/>
              <w:spacing w:before="57"/>
              <w:ind w:left="7" w:right="1"/>
              <w:jc w:val="center"/>
              <w:rPr>
                <w:sz w:val="18"/>
              </w:rPr>
            </w:pPr>
            <w:r>
              <w:rPr>
                <w:spacing w:val="-2"/>
                <w:sz w:val="16"/>
              </w:rPr>
              <w:t>200 ms</w:t>
            </w:r>
          </w:p>
        </w:tc>
      </w:tr>
    </w:tbl>
    <w:p>
      <w:pPr>
        <w:pStyle w:val="BodyText"/>
        <w:spacing w:before="96"/>
        <w:ind w:left="0"/>
        <w:rPr>
          <w:b/>
          <w:sz w:val="20"/>
        </w:rPr>
      </w:pPr>
    </w:p>
    <w:p>
      <w:pPr>
        <w:pStyle w:val="Heading1"/>
        <w:ind w:left="295" w:firstLine="0"/>
      </w:pPr>
      <w:bookmarkStart w:id="110" w:name="Table 3 Alarm Sound Characteristic Param"/>
      <w:bookmarkEnd w:id="110"/>
      <w:bookmarkStart w:id="111" w:name="_bookmark55"/>
      <w:bookmarkEnd w:id="111"/>
      <w:r>
        <w:rPr>
          <w:sz w:val="18"/>
        </w:rPr>
        <w:t>Tabulka</w:t>
      </w:r>
      <w:r>
        <w:rPr>
          <w:sz w:val="18"/>
        </w:rPr>
        <w:t xml:space="preserve"> 3 </w:t>
      </w:r>
      <w:r>
        <w:rPr>
          <w:spacing w:val="-2"/>
          <w:sz w:val="18"/>
        </w:rPr>
        <w:t xml:space="preserve">Parametry </w:t>
      </w:r>
      <w:r>
        <w:rPr>
          <w:sz w:val="18"/>
        </w:rPr>
        <w:t xml:space="preserve">charakteristiky </w:t>
      </w:r>
      <w:r>
        <w:rPr>
          <w:sz w:val="18"/>
        </w:rPr>
        <w:t xml:space="preserve">zvukového </w:t>
      </w:r>
      <w:r>
        <w:rPr>
          <w:sz w:val="18"/>
        </w:rPr>
        <w:t>alarmu</w:t>
      </w:r>
    </w:p>
    <w:p>
      <w:pPr>
        <w:pStyle w:val="BodyText"/>
        <w:spacing w:before="4"/>
        <w:ind w:left="0"/>
        <w:rPr>
          <w:b/>
          <w:sz w:val="11"/>
        </w:rPr>
      </w:pPr>
      <w:r>
        <w:rPr>
          <w:b/>
          <w:sz w:val="11"/>
        </w:rPr>
        <mc:AlternateContent>
          <mc:Choice Requires="wpg">
            <w:drawing>
              <wp:anchor distT="0" distB="0" distL="0" distR="0" simplePos="0" relativeHeight="251711488" behindDoc="1" locked="0" layoutInCell="1" allowOverlap="1">
                <wp:simplePos x="0" y="0"/>
                <wp:positionH relativeFrom="page">
                  <wp:posOffset>481583</wp:posOffset>
                </wp:positionH>
                <wp:positionV relativeFrom="paragraph">
                  <wp:posOffset>98449</wp:posOffset>
                </wp:positionV>
                <wp:extent cx="4364990" cy="1605280"/>
                <wp:effectExtent l="0" t="0" r="0" b="0"/>
                <wp:wrapTopAndBottom/>
                <wp:docPr id="89"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4364990" cy="1605280"/>
                          <a:chOff x="0" y="0"/>
                          <a:chExt cx="4364990" cy="1605280"/>
                        </a:xfrm>
                      </wpg:grpSpPr>
                      <pic:pic xmlns:pic="http://schemas.openxmlformats.org/drawingml/2006/picture">
                        <pic:nvPicPr>
                          <pic:cNvPr id="90" name="Image 90"/>
                          <pic:cNvPicPr/>
                        </pic:nvPicPr>
                        <pic:blipFill>
                          <a:blip xmlns:r="http://schemas.openxmlformats.org/officeDocument/2006/relationships" r:embed="rId80" cstate="print"/>
                          <a:stretch>
                            <a:fillRect/>
                          </a:stretch>
                        </pic:blipFill>
                        <pic:spPr>
                          <a:xfrm>
                            <a:off x="0" y="0"/>
                            <a:ext cx="4364736" cy="1604772"/>
                          </a:xfrm>
                          <a:prstGeom prst="rect">
                            <a:avLst/>
                          </a:prstGeom>
                        </pic:spPr>
                      </pic:pic>
                      <wps:wsp xmlns:wps="http://schemas.microsoft.com/office/word/2010/wordprocessingShape">
                        <wps:cNvPr id="91" name="Textbox 91"/>
                        <wps:cNvSpPr txBox="1"/>
                        <wps:spPr>
                          <a:xfrm>
                            <a:off x="25907" y="120171"/>
                            <a:ext cx="721360" cy="84455"/>
                          </a:xfrm>
                          <a:prstGeom prst="rect">
                            <a:avLst/>
                          </a:prstGeom>
                        </wps:spPr>
                        <wps:txbx>
                          <w:txbxContent>
                            <w:p>
                              <w:pPr>
                                <w:spacing w:before="0" w:line="133" w:lineRule="exact"/>
                                <w:ind w:left="0" w:right="0" w:firstLine="0"/>
                                <w:jc w:val="left"/>
                                <w:rPr>
                                  <w:sz w:val="12"/>
                                </w:rPr>
                              </w:pPr>
                              <w:r>
                                <w:rPr>
                                  <w:color w:val="000000"/>
                                  <w:spacing w:val="-2"/>
                                  <w:sz w:val="11"/>
                                  <w:shd w:val="clear" w:color="auto" w:fill="FFFFFF"/>
                                </w:rPr>
                                <w:t xml:space="preserve"> Úroveň </w:t>
                              </w:r>
                              <w:r>
                                <w:rPr>
                                  <w:color w:val="000000"/>
                                  <w:sz w:val="11"/>
                                  <w:shd w:val="clear" w:color="auto" w:fill="FFFFFF"/>
                                </w:rPr>
                                <w:t>priority</w:t>
                              </w:r>
                              <w:r>
                                <w:rPr>
                                  <w:color w:val="000000"/>
                                  <w:sz w:val="11"/>
                                  <w:shd w:val="clear" w:color="auto" w:fill="FFFFFF"/>
                                </w:rPr>
                                <w:t xml:space="preserve"> alarmu </w:t>
                              </w:r>
                            </w:p>
                          </w:txbxContent>
                        </wps:txbx>
                        <wps:bodyPr wrap="square" lIns="0" tIns="0" rIns="0" bIns="0" rtlCol="0"/>
                      </wps:wsp>
                      <wps:wsp xmlns:wps="http://schemas.microsoft.com/office/word/2010/wordprocessingShape">
                        <wps:cNvPr id="92" name="Textbox 92"/>
                        <wps:cNvSpPr txBox="1"/>
                        <wps:spPr>
                          <a:xfrm>
                            <a:off x="1667255" y="152188"/>
                            <a:ext cx="1591945" cy="84455"/>
                          </a:xfrm>
                          <a:prstGeom prst="rect">
                            <a:avLst/>
                          </a:prstGeom>
                        </wps:spPr>
                        <wps:txbx>
                          <w:txbxContent>
                            <w:p>
                              <w:pPr>
                                <w:tabs>
                                  <w:tab w:val="left" w:pos="573"/>
                                  <w:tab w:val="left" w:pos="2486"/>
                                </w:tabs>
                                <w:spacing w:before="0" w:line="133" w:lineRule="exact"/>
                                <w:ind w:left="0" w:right="0" w:firstLine="0"/>
                                <w:jc w:val="left"/>
                                <w:rPr>
                                  <w:sz w:val="12"/>
                                </w:rPr>
                              </w:pPr>
                              <w:r>
                                <w:rPr>
                                  <w:color w:val="000000"/>
                                  <w:sz w:val="11"/>
                                  <w:shd w:val="clear" w:color="auto" w:fill="FFFFFF"/>
                                </w:rPr>
                                <w:tab/>
                              </w:r>
                              <w:r>
                                <w:rPr>
                                  <w:color w:val="000000"/>
                                  <w:spacing w:val="-2"/>
                                  <w:sz w:val="11"/>
                                  <w:shd w:val="clear" w:color="auto" w:fill="FFFFFF"/>
                                </w:rPr>
                                <w:t xml:space="preserve">Charakteristiky </w:t>
                              </w:r>
                              <w:r>
                                <w:rPr>
                                  <w:color w:val="000000"/>
                                  <w:sz w:val="11"/>
                                  <w:shd w:val="clear" w:color="auto" w:fill="FFFFFF"/>
                                </w:rPr>
                                <w:t xml:space="preserve">zvuku </w:t>
                              </w:r>
                              <w:r>
                                <w:rPr>
                                  <w:color w:val="000000"/>
                                  <w:sz w:val="11"/>
                                  <w:shd w:val="clear" w:color="auto" w:fill="FFFFFF"/>
                                </w:rPr>
                                <w:t>alarmu</w:t>
                              </w:r>
                              <w:r>
                                <w:rPr>
                                  <w:color w:val="000000"/>
                                  <w:sz w:val="11"/>
                                  <w:shd w:val="clear" w:color="auto" w:fill="FFFFFF"/>
                                </w:rPr>
                                <w:tab/>
                              </w:r>
                            </w:p>
                          </w:txbxContent>
                        </wps:txbx>
                        <wps:bodyPr wrap="square" lIns="0" tIns="0" rIns="0" bIns="0" rtlCol="0"/>
                      </wps:wsp>
                      <wps:wsp xmlns:wps="http://schemas.microsoft.com/office/word/2010/wordprocessingShape">
                        <wps:cNvPr id="93" name="Textbox 93"/>
                        <wps:cNvSpPr txBox="1"/>
                        <wps:spPr>
                          <a:xfrm>
                            <a:off x="96011" y="520996"/>
                            <a:ext cx="651510" cy="84455"/>
                          </a:xfrm>
                          <a:prstGeom prst="rect">
                            <a:avLst/>
                          </a:prstGeom>
                        </wps:spPr>
                        <wps:txbx>
                          <w:txbxContent>
                            <w:p>
                              <w:pPr>
                                <w:spacing w:before="0" w:line="133" w:lineRule="exact"/>
                                <w:ind w:left="0" w:right="0" w:firstLine="0"/>
                                <w:jc w:val="left"/>
                                <w:rPr>
                                  <w:sz w:val="12"/>
                                </w:rPr>
                              </w:pPr>
                              <w:r>
                                <w:rPr>
                                  <w:color w:val="000000"/>
                                  <w:spacing w:val="59"/>
                                  <w:sz w:val="11"/>
                                  <w:shd w:val="clear" w:color="auto" w:fill="FFFFFF"/>
                                </w:rPr>
                                <w:t xml:space="preserve">  </w:t>
                              </w:r>
                              <w:r>
                                <w:rPr>
                                  <w:color w:val="000000"/>
                                  <w:spacing w:val="4"/>
                                  <w:sz w:val="11"/>
                                  <w:shd w:val="clear" w:color="auto" w:fill="FFFFFF"/>
                                </w:rPr>
                                <w:t>V</w:t>
                              </w:r>
                              <w:r>
                                <w:rPr>
                                  <w:color w:val="000000"/>
                                  <w:sz w:val="11"/>
                                  <w:shd w:val="clear" w:color="auto" w:fill="FFFFFF"/>
                                </w:rPr>
                                <w:t xml:space="preserve">ysoká </w:t>
                              </w:r>
                              <w:r>
                                <w:rPr>
                                  <w:color w:val="000000"/>
                                  <w:spacing w:val="-2"/>
                                  <w:sz w:val="11"/>
                                  <w:shd w:val="clear" w:color="auto" w:fill="FFFFFF"/>
                                </w:rPr>
                                <w:t xml:space="preserve">priorita </w:t>
                              </w:r>
                            </w:p>
                          </w:txbxContent>
                        </wps:txbx>
                        <wps:bodyPr wrap="square" lIns="0" tIns="0" rIns="0" bIns="0" rtlCol="0"/>
                      </wps:wsp>
                      <wps:wsp xmlns:wps="http://schemas.microsoft.com/office/word/2010/wordprocessingShape">
                        <wps:cNvPr id="94" name="Textbox 94"/>
                        <wps:cNvSpPr txBox="1"/>
                        <wps:spPr>
                          <a:xfrm>
                            <a:off x="41148" y="895900"/>
                            <a:ext cx="706120" cy="84455"/>
                          </a:xfrm>
                          <a:prstGeom prst="rect">
                            <a:avLst/>
                          </a:prstGeom>
                        </wps:spPr>
                        <wps:txbx>
                          <w:txbxContent>
                            <w:p>
                              <w:pPr>
                                <w:spacing w:before="0" w:line="133" w:lineRule="exact"/>
                                <w:ind w:left="0" w:right="0" w:firstLine="0"/>
                                <w:jc w:val="left"/>
                                <w:rPr>
                                  <w:sz w:val="12"/>
                                </w:rPr>
                              </w:pPr>
                              <w:r>
                                <w:rPr>
                                  <w:color w:val="000000"/>
                                  <w:spacing w:val="66"/>
                                  <w:sz w:val="11"/>
                                  <w:shd w:val="clear" w:color="auto" w:fill="FFFFFF"/>
                                </w:rPr>
                                <w:t xml:space="preserve">  </w:t>
                              </w:r>
                              <w:r>
                                <w:rPr>
                                  <w:color w:val="000000"/>
                                  <w:sz w:val="11"/>
                                  <w:shd w:val="clear" w:color="auto" w:fill="FFFFFF"/>
                                </w:rPr>
                                <w:t>N</w:t>
                              </w:r>
                              <w:r>
                                <w:rPr>
                                  <w:color w:val="000000"/>
                                  <w:spacing w:val="1"/>
                                  <w:sz w:val="11"/>
                                  <w:shd w:val="clear" w:color="auto" w:fill="FFFFFF"/>
                                </w:rPr>
                                <w:t>í</w:t>
                              </w:r>
                              <w:r>
                                <w:rPr>
                                  <w:color w:val="000000"/>
                                  <w:sz w:val="11"/>
                                  <w:shd w:val="clear" w:color="auto" w:fill="FFFFFF"/>
                                </w:rPr>
                                <w:t xml:space="preserve">zká </w:t>
                              </w:r>
                              <w:r>
                                <w:rPr>
                                  <w:color w:val="000000"/>
                                  <w:sz w:val="11"/>
                                  <w:shd w:val="clear" w:color="auto" w:fill="FFFFFF"/>
                                </w:rPr>
                                <w:t>priorita</w:t>
                              </w:r>
                              <w:r>
                                <w:rPr>
                                  <w:color w:val="000000"/>
                                  <w:spacing w:val="-10"/>
                                  <w:sz w:val="11"/>
                                  <w:shd w:val="clear" w:color="auto" w:fill="FFFFFF"/>
                                </w:rPr>
                                <w:t xml:space="preserve"> 1 </w:t>
                              </w:r>
                            </w:p>
                          </w:txbxContent>
                        </wps:txbx>
                        <wps:bodyPr wrap="square" lIns="0" tIns="0" rIns="0" bIns="0" rtlCol="0"/>
                      </wps:wsp>
                      <wps:wsp xmlns:wps="http://schemas.microsoft.com/office/word/2010/wordprocessingShape">
                        <wps:cNvPr id="95" name="Textbox 95"/>
                        <wps:cNvSpPr txBox="1"/>
                        <wps:spPr>
                          <a:xfrm>
                            <a:off x="41148" y="1292140"/>
                            <a:ext cx="715645" cy="84455"/>
                          </a:xfrm>
                          <a:prstGeom prst="rect">
                            <a:avLst/>
                          </a:prstGeom>
                        </wps:spPr>
                        <wps:txbx>
                          <w:txbxContent>
                            <w:p>
                              <w:pPr>
                                <w:tabs>
                                  <w:tab w:val="left" w:pos="1106"/>
                                </w:tabs>
                                <w:spacing w:before="0" w:line="133" w:lineRule="exact"/>
                                <w:ind w:left="0" w:right="0" w:firstLine="0"/>
                                <w:jc w:val="left"/>
                                <w:rPr>
                                  <w:sz w:val="12"/>
                                </w:rPr>
                              </w:pPr>
                              <w:r>
                                <w:rPr>
                                  <w:color w:val="000000"/>
                                  <w:spacing w:val="68"/>
                                  <w:sz w:val="11"/>
                                  <w:shd w:val="clear" w:color="auto" w:fill="FFFFFF"/>
                                </w:rPr>
                                <w:t xml:space="preserve">  </w:t>
                              </w:r>
                              <w:r>
                                <w:rPr>
                                  <w:color w:val="000000"/>
                                  <w:sz w:val="11"/>
                                  <w:shd w:val="clear" w:color="auto" w:fill="FFFFFF"/>
                                </w:rPr>
                                <w:t xml:space="preserve">Nízká </w:t>
                              </w:r>
                              <w:r>
                                <w:rPr>
                                  <w:color w:val="000000"/>
                                  <w:sz w:val="11"/>
                                  <w:shd w:val="clear" w:color="auto" w:fill="FFFFFF"/>
                                </w:rPr>
                                <w:t>priorita</w:t>
                              </w:r>
                              <w:r>
                                <w:rPr>
                                  <w:color w:val="000000"/>
                                  <w:spacing w:val="-10"/>
                                  <w:sz w:val="11"/>
                                  <w:shd w:val="clear" w:color="auto" w:fill="FFFFFF"/>
                                </w:rPr>
                                <w:t xml:space="preserve"> 2</w:t>
                              </w:r>
                              <w:r>
                                <w:rPr>
                                  <w:color w:val="000000"/>
                                  <w:sz w:val="11"/>
                                  <w:shd w:val="clear" w:color="auto" w:fill="FFFFFF"/>
                                </w:rPr>
                                <w:tab/>
                              </w:r>
                            </w:p>
                          </w:txbxContent>
                        </wps:txbx>
                        <wps:bodyPr wrap="square" lIns="0" tIns="0" rIns="0" bIns="0" rtlCol="0"/>
                      </wps:wsp>
                    </wpg:wgp>
                  </a:graphicData>
                </a:graphic>
              </wp:anchor>
            </w:drawing>
          </mc:Choice>
          <mc:Fallback>
            <w:pict>
              <v:group id="_x0000_s1038" style="width:343.7pt;height:126.4pt;margin-top:7.75pt;margin-left:37.92pt;mso-position-horizontal-relative:page;mso-wrap-distance-left:0;mso-wrap-distance-right:0;position:absolute;z-index:-251603968" coordorigin="758,155" coordsize="6874,2528">
                <v:shape id="_x0000_s1039" type="#_x0000_t75" style="width:6874;height:2528;left:758;position:absolute;top:155" stroked="f">
                  <v:imagedata r:id="rId80" o:title=""/>
                </v:shape>
                <v:shape id="_x0000_s1040" type="#_x0000_t202" style="width:1136;height:133;left:799;position:absolute;top:344" filled="f" stroked="f">
                  <v:textbox inset="0,0,0,0">
                    <w:txbxContent>
                      <w:p>
                        <w:pPr>
                          <w:spacing w:before="0" w:line="133" w:lineRule="exact"/>
                          <w:ind w:left="0" w:right="0" w:firstLine="0"/>
                          <w:jc w:val="left"/>
                          <w:rPr>
                            <w:sz w:val="12"/>
                          </w:rPr>
                        </w:pPr>
                        <w:r>
                          <w:rPr>
                            <w:color w:val="000000"/>
                            <w:spacing w:val="-2"/>
                            <w:sz w:val="12"/>
                            <w:shd w:val="clear" w:color="auto" w:fill="FFFFFF"/>
                          </w:rPr>
                          <w:t xml:space="preserve"> Úroveň </w:t>
                        </w:r>
                        <w:r>
                          <w:rPr>
                            <w:color w:val="000000"/>
                            <w:sz w:val="12"/>
                            <w:shd w:val="clear" w:color="auto" w:fill="FFFFFF"/>
                          </w:rPr>
                          <w:t>priority</w:t>
                        </w:r>
                        <w:r>
                          <w:rPr>
                            <w:color w:val="000000"/>
                            <w:sz w:val="12"/>
                            <w:shd w:val="clear" w:color="auto" w:fill="FFFFFF"/>
                          </w:rPr>
                          <w:t xml:space="preserve"> alarmu </w:t>
                        </w:r>
                      </w:p>
                    </w:txbxContent>
                  </v:textbox>
                </v:shape>
                <v:shape id="_x0000_s1041" type="#_x0000_t202" style="width:2507;height:133;left:3384;position:absolute;top:394" filled="f" stroked="f">
                  <v:textbox inset="0,0,0,0">
                    <w:txbxContent>
                      <w:p>
                        <w:pPr>
                          <w:tabs>
                            <w:tab w:val="left" w:pos="573"/>
                            <w:tab w:val="left" w:pos="2486"/>
                          </w:tabs>
                          <w:spacing w:before="0" w:line="133" w:lineRule="exact"/>
                          <w:ind w:left="0" w:right="0" w:firstLine="0"/>
                          <w:jc w:val="left"/>
                          <w:rPr>
                            <w:sz w:val="12"/>
                          </w:rPr>
                        </w:pPr>
                        <w:r>
                          <w:rPr>
                            <w:color w:val="000000"/>
                            <w:sz w:val="12"/>
                            <w:shd w:val="clear" w:color="auto" w:fill="FFFFFF"/>
                          </w:rPr>
                          <w:tab/>
                        </w:r>
                        <w:r>
                          <w:rPr>
                            <w:color w:val="000000"/>
                            <w:spacing w:val="-2"/>
                            <w:sz w:val="12"/>
                            <w:shd w:val="clear" w:color="auto" w:fill="FFFFFF"/>
                          </w:rPr>
                          <w:t xml:space="preserve">Charakteristika </w:t>
                        </w:r>
                        <w:r>
                          <w:rPr>
                            <w:color w:val="000000"/>
                            <w:sz w:val="12"/>
                            <w:shd w:val="clear" w:color="auto" w:fill="FFFFFF"/>
                          </w:rPr>
                          <w:t xml:space="preserve">zvuku </w:t>
                        </w:r>
                        <w:r>
                          <w:rPr>
                            <w:color w:val="000000"/>
                            <w:sz w:val="12"/>
                            <w:shd w:val="clear" w:color="auto" w:fill="FFFFFF"/>
                          </w:rPr>
                          <w:t>alarmu</w:t>
                        </w:r>
                        <w:r>
                          <w:rPr>
                            <w:color w:val="000000"/>
                            <w:sz w:val="12"/>
                            <w:shd w:val="clear" w:color="auto" w:fill="FFFFFF"/>
                          </w:rPr>
                          <w:tab/>
                        </w:r>
                      </w:p>
                    </w:txbxContent>
                  </v:textbox>
                </v:shape>
                <v:shape id="_x0000_s1042" type="#_x0000_t202" style="width:1026;height:133;left:909;position:absolute;top:975" filled="f" stroked="f">
                  <v:textbox inset="0,0,0,0">
                    <w:txbxContent>
                      <w:p>
                        <w:pPr>
                          <w:spacing w:before="0" w:line="133" w:lineRule="exact"/>
                          <w:ind w:left="0" w:right="0" w:firstLine="0"/>
                          <w:jc w:val="left"/>
                          <w:rPr>
                            <w:sz w:val="12"/>
                          </w:rPr>
                        </w:pPr>
                        <w:r>
                          <w:rPr>
                            <w:color w:val="000000"/>
                            <w:spacing w:val="59"/>
                            <w:sz w:val="12"/>
                            <w:shd w:val="clear" w:color="auto" w:fill="FFFFFF"/>
                          </w:rPr>
                          <w:t xml:space="preserve">  </w:t>
                        </w:r>
                        <w:r>
                          <w:rPr>
                            <w:color w:val="000000"/>
                            <w:spacing w:val="4"/>
                            <w:sz w:val="12"/>
                            <w:shd w:val="clear" w:color="auto" w:fill="FFFFFF"/>
                          </w:rPr>
                          <w:t>V</w:t>
                        </w:r>
                        <w:r>
                          <w:rPr>
                            <w:color w:val="000000"/>
                            <w:sz w:val="12"/>
                            <w:shd w:val="clear" w:color="auto" w:fill="FFFFFF"/>
                          </w:rPr>
                          <w:t xml:space="preserve">ysoká </w:t>
                        </w:r>
                        <w:r>
                          <w:rPr>
                            <w:color w:val="000000"/>
                            <w:spacing w:val="-2"/>
                            <w:sz w:val="12"/>
                            <w:shd w:val="clear" w:color="auto" w:fill="FFFFFF"/>
                          </w:rPr>
                          <w:t xml:space="preserve">priorita </w:t>
                        </w:r>
                      </w:p>
                    </w:txbxContent>
                  </v:textbox>
                </v:shape>
                <v:shape id="_x0000_s1043" type="#_x0000_t202" style="width:1112;height:133;left:823;position:absolute;top:1565" filled="f" stroked="f">
                  <v:textbox inset="0,0,0,0">
                    <w:txbxContent>
                      <w:p>
                        <w:pPr>
                          <w:spacing w:before="0" w:line="133" w:lineRule="exact"/>
                          <w:ind w:left="0" w:right="0" w:firstLine="0"/>
                          <w:jc w:val="left"/>
                          <w:rPr>
                            <w:sz w:val="12"/>
                          </w:rPr>
                        </w:pPr>
                        <w:r>
                          <w:rPr>
                            <w:color w:val="000000"/>
                            <w:spacing w:val="66"/>
                            <w:sz w:val="12"/>
                            <w:shd w:val="clear" w:color="auto" w:fill="FFFFFF"/>
                          </w:rPr>
                          <w:t xml:space="preserve">  </w:t>
                        </w:r>
                        <w:r>
                          <w:rPr>
                            <w:color w:val="000000"/>
                            <w:sz w:val="12"/>
                            <w:shd w:val="clear" w:color="auto" w:fill="FFFFFF"/>
                          </w:rPr>
                          <w:t>N</w:t>
                        </w:r>
                        <w:r>
                          <w:rPr>
                            <w:color w:val="000000"/>
                            <w:spacing w:val="1"/>
                            <w:sz w:val="12"/>
                            <w:shd w:val="clear" w:color="auto" w:fill="FFFFFF"/>
                          </w:rPr>
                          <w:t>í</w:t>
                        </w:r>
                        <w:r>
                          <w:rPr>
                            <w:color w:val="000000"/>
                            <w:sz w:val="12"/>
                            <w:shd w:val="clear" w:color="auto" w:fill="FFFFFF"/>
                          </w:rPr>
                          <w:t xml:space="preserve">zká </w:t>
                        </w:r>
                        <w:r>
                          <w:rPr>
                            <w:color w:val="000000"/>
                            <w:sz w:val="12"/>
                            <w:shd w:val="clear" w:color="auto" w:fill="FFFFFF"/>
                          </w:rPr>
                          <w:t>priorita</w:t>
                        </w:r>
                        <w:r>
                          <w:rPr>
                            <w:color w:val="000000"/>
                            <w:spacing w:val="-10"/>
                            <w:sz w:val="12"/>
                            <w:shd w:val="clear" w:color="auto" w:fill="FFFFFF"/>
                          </w:rPr>
                          <w:t xml:space="preserve"> 1 </w:t>
                        </w:r>
                      </w:p>
                    </w:txbxContent>
                  </v:textbox>
                </v:shape>
                <v:shape id="_x0000_s1044" type="#_x0000_t202" style="width:1127;height:133;left:823;position:absolute;top:2189" filled="f" stroked="f">
                  <v:textbox inset="0,0,0,0">
                    <w:txbxContent>
                      <w:p>
                        <w:pPr>
                          <w:tabs>
                            <w:tab w:val="left" w:pos="1106"/>
                          </w:tabs>
                          <w:spacing w:before="0" w:line="133" w:lineRule="exact"/>
                          <w:ind w:left="0" w:right="0" w:firstLine="0"/>
                          <w:jc w:val="left"/>
                          <w:rPr>
                            <w:sz w:val="12"/>
                          </w:rPr>
                        </w:pPr>
                        <w:r>
                          <w:rPr>
                            <w:color w:val="000000"/>
                            <w:spacing w:val="68"/>
                            <w:sz w:val="12"/>
                            <w:shd w:val="clear" w:color="auto" w:fill="FFFFFF"/>
                          </w:rPr>
                          <w:t xml:space="preserve">  </w:t>
                        </w:r>
                        <w:r>
                          <w:rPr>
                            <w:color w:val="000000"/>
                            <w:sz w:val="12"/>
                            <w:shd w:val="clear" w:color="auto" w:fill="FFFFFF"/>
                          </w:rPr>
                          <w:t xml:space="preserve">Nízká </w:t>
                        </w:r>
                        <w:r>
                          <w:rPr>
                            <w:color w:val="000000"/>
                            <w:sz w:val="12"/>
                            <w:shd w:val="clear" w:color="auto" w:fill="FFFFFF"/>
                          </w:rPr>
                          <w:t>priorita</w:t>
                        </w:r>
                        <w:r>
                          <w:rPr>
                            <w:color w:val="000000"/>
                            <w:spacing w:val="-10"/>
                            <w:sz w:val="12"/>
                            <w:shd w:val="clear" w:color="auto" w:fill="FFFFFF"/>
                          </w:rPr>
                          <w:t xml:space="preserve"> 2</w:t>
                        </w:r>
                        <w:r>
                          <w:rPr>
                            <w:color w:val="000000"/>
                            <w:sz w:val="12"/>
                            <w:shd w:val="clear" w:color="auto" w:fill="FFFFFF"/>
                          </w:rPr>
                          <w:tab/>
                        </w:r>
                      </w:p>
                    </w:txbxContent>
                  </v:textbox>
                </v:shape>
                <w10:wrap type="topAndBottom"/>
              </v:group>
            </w:pict>
          </mc:Fallback>
        </mc:AlternateContent>
      </w:r>
    </w:p>
    <w:p>
      <w:pPr>
        <w:pStyle w:val="BodyText"/>
        <w:spacing w:before="107"/>
        <w:ind w:left="0"/>
        <w:rPr>
          <w:b/>
          <w:sz w:val="20"/>
        </w:rPr>
      </w:pPr>
    </w:p>
    <w:p>
      <w:pPr>
        <w:pStyle w:val="Heading1"/>
        <w:ind w:left="295" w:firstLine="0"/>
        <w:jc w:val="both"/>
      </w:pPr>
      <w:bookmarkStart w:id="112" w:name="Table 4 Blockage Response Characteristic"/>
      <w:bookmarkEnd w:id="112"/>
      <w:bookmarkStart w:id="113" w:name="_bookmark56"/>
      <w:bookmarkEnd w:id="113"/>
      <w:r>
        <w:rPr>
          <w:sz w:val="18"/>
        </w:rPr>
        <w:t>Tabulka</w:t>
      </w:r>
      <w:r>
        <w:rPr>
          <w:sz w:val="18"/>
        </w:rPr>
        <w:t xml:space="preserve"> 4 </w:t>
      </w:r>
      <w:r>
        <w:rPr>
          <w:spacing w:val="-2"/>
          <w:sz w:val="18"/>
        </w:rPr>
        <w:t xml:space="preserve">Charakteristiky </w:t>
      </w:r>
      <w:r>
        <w:rPr>
          <w:sz w:val="18"/>
        </w:rPr>
        <w:t xml:space="preserve">reakce na </w:t>
      </w:r>
      <w:r>
        <w:rPr>
          <w:sz w:val="18"/>
        </w:rPr>
        <w:t>ucpání</w:t>
      </w:r>
    </w:p>
    <w:p>
      <w:pPr>
        <w:pStyle w:val="BodyText"/>
        <w:spacing w:before="4"/>
        <w:ind w:left="0"/>
        <w:rPr>
          <w:b/>
          <w:sz w:val="5"/>
        </w:rPr>
      </w:pPr>
    </w:p>
    <w:tbl>
      <w:tblPr>
        <w:tblStyle w:val="TableNormal"/>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1824"/>
        <w:gridCol w:w="2064"/>
        <w:gridCol w:w="1631"/>
      </w:tblGrid>
      <w:tr>
        <w:tblPrEx>
          <w:tblW w:w="0" w:type="auto"/>
          <w:tblInd w:w="480" w:type="dxa"/>
          <w:tblLayout w:type="fixed"/>
          <w:tblLook w:val="01E0"/>
        </w:tblPrEx>
        <w:trPr>
          <w:trHeight w:val="843"/>
        </w:trPr>
        <w:tc>
          <w:tcPr>
            <w:tcW w:w="1070" w:type="dxa"/>
          </w:tcPr>
          <w:p>
            <w:pPr>
              <w:pStyle w:val="TableParagraph"/>
              <w:spacing w:before="120"/>
              <w:rPr>
                <w:b/>
                <w:sz w:val="18"/>
              </w:rPr>
            </w:pPr>
          </w:p>
          <w:p>
            <w:pPr>
              <w:pStyle w:val="TableParagraph"/>
              <w:ind w:left="122"/>
              <w:rPr>
                <w:sz w:val="18"/>
              </w:rPr>
            </w:pPr>
            <w:r>
              <w:rPr>
                <w:sz w:val="16"/>
              </w:rPr>
              <w:t xml:space="preserve">Míra </w:t>
            </w:r>
            <w:r>
              <w:rPr>
                <w:spacing w:val="-2"/>
                <w:sz w:val="16"/>
              </w:rPr>
              <w:t>(ml/h)</w:t>
            </w:r>
          </w:p>
        </w:tc>
        <w:tc>
          <w:tcPr>
            <w:tcW w:w="1824" w:type="dxa"/>
          </w:tcPr>
          <w:p>
            <w:pPr>
              <w:pStyle w:val="TableParagraph"/>
              <w:rPr>
                <w:b/>
                <w:sz w:val="18"/>
              </w:rPr>
            </w:pPr>
          </w:p>
          <w:p>
            <w:pPr>
              <w:pStyle w:val="TableParagraph"/>
              <w:spacing w:line="278" w:lineRule="auto"/>
              <w:ind w:left="705" w:hanging="382"/>
              <w:rPr>
                <w:sz w:val="18"/>
              </w:rPr>
            </w:pPr>
            <w:r>
              <w:rPr>
                <w:spacing w:val="-2"/>
                <w:sz w:val="16"/>
              </w:rPr>
              <w:t xml:space="preserve">Úroveň alarmu </w:t>
            </w:r>
            <w:r>
              <w:rPr>
                <w:spacing w:val="-2"/>
                <w:sz w:val="16"/>
              </w:rPr>
              <w:t>ucpání</w:t>
            </w:r>
          </w:p>
        </w:tc>
        <w:tc>
          <w:tcPr>
            <w:tcW w:w="2064" w:type="dxa"/>
          </w:tcPr>
          <w:p>
            <w:pPr>
              <w:pStyle w:val="TableParagraph"/>
              <w:spacing w:before="87" w:line="278" w:lineRule="auto"/>
              <w:ind w:left="129" w:right="119"/>
              <w:jc w:val="center"/>
              <w:rPr>
                <w:sz w:val="18"/>
              </w:rPr>
            </w:pPr>
            <w:r>
              <w:rPr>
                <w:sz w:val="16"/>
              </w:rPr>
              <w:t xml:space="preserve">Maximální </w:t>
            </w:r>
            <w:r>
              <w:rPr>
                <w:sz w:val="16"/>
              </w:rPr>
              <w:t xml:space="preserve">doba </w:t>
            </w:r>
            <w:r>
              <w:rPr>
                <w:sz w:val="16"/>
              </w:rPr>
              <w:t xml:space="preserve">pro </w:t>
            </w:r>
            <w:r>
              <w:rPr>
                <w:sz w:val="16"/>
              </w:rPr>
              <w:t xml:space="preserve">alarm </w:t>
            </w:r>
            <w:r>
              <w:rPr>
                <w:sz w:val="16"/>
              </w:rPr>
              <w:t xml:space="preserve">ucpání </w:t>
            </w:r>
            <w:r>
              <w:rPr>
                <w:spacing w:val="-2"/>
                <w:sz w:val="16"/>
              </w:rPr>
              <w:t>(minuty)</w:t>
            </w:r>
          </w:p>
        </w:tc>
        <w:tc>
          <w:tcPr>
            <w:tcW w:w="1631" w:type="dxa"/>
          </w:tcPr>
          <w:p>
            <w:pPr>
              <w:pStyle w:val="TableParagraph"/>
              <w:rPr>
                <w:b/>
                <w:sz w:val="18"/>
              </w:rPr>
            </w:pPr>
          </w:p>
          <w:p>
            <w:pPr>
              <w:pStyle w:val="TableParagraph"/>
              <w:spacing w:line="278" w:lineRule="auto"/>
              <w:ind w:left="357" w:right="135" w:hanging="204"/>
              <w:rPr>
                <w:sz w:val="18"/>
              </w:rPr>
            </w:pPr>
            <w:r>
              <w:rPr>
                <w:sz w:val="16"/>
              </w:rPr>
              <w:t xml:space="preserve">Neočekávaný </w:t>
            </w:r>
            <w:r>
              <w:rPr>
                <w:sz w:val="16"/>
              </w:rPr>
              <w:t>objem bolusu (ml)</w:t>
            </w:r>
          </w:p>
        </w:tc>
      </w:tr>
      <w:tr>
        <w:tblPrEx>
          <w:tblW w:w="0" w:type="auto"/>
          <w:tblInd w:w="480" w:type="dxa"/>
          <w:tblLayout w:type="fixed"/>
          <w:tblLook w:val="01E0"/>
        </w:tblPrEx>
        <w:trPr>
          <w:trHeight w:val="363"/>
        </w:trPr>
        <w:tc>
          <w:tcPr>
            <w:tcW w:w="1070" w:type="dxa"/>
            <w:vMerge w:val="restart"/>
          </w:tcPr>
          <w:p>
            <w:pPr>
              <w:pStyle w:val="TableParagraph"/>
              <w:spacing w:before="65"/>
              <w:rPr>
                <w:b/>
                <w:sz w:val="18"/>
              </w:rPr>
            </w:pPr>
          </w:p>
          <w:p>
            <w:pPr>
              <w:pStyle w:val="TableParagraph"/>
              <w:ind w:left="11"/>
              <w:jc w:val="center"/>
              <w:rPr>
                <w:sz w:val="18"/>
              </w:rPr>
            </w:pPr>
            <w:r>
              <w:rPr>
                <w:spacing w:val="-5"/>
                <w:sz w:val="16"/>
              </w:rPr>
              <w:t>0,1</w:t>
            </w:r>
          </w:p>
        </w:tc>
        <w:tc>
          <w:tcPr>
            <w:tcW w:w="1824" w:type="dxa"/>
          </w:tcPr>
          <w:p>
            <w:pPr>
              <w:pStyle w:val="TableParagraph"/>
              <w:spacing w:before="85"/>
              <w:ind w:left="5"/>
              <w:jc w:val="center"/>
              <w:rPr>
                <w:sz w:val="18"/>
              </w:rPr>
            </w:pPr>
            <w:r>
              <w:rPr>
                <w:sz w:val="16"/>
              </w:rPr>
              <w:t>Úroveň</w:t>
            </w:r>
            <w:r>
              <w:rPr>
                <w:sz w:val="16"/>
              </w:rPr>
              <w:t xml:space="preserve"> 1 </w:t>
            </w:r>
            <w:r>
              <w:rPr>
                <w:spacing w:val="-2"/>
                <w:sz w:val="16"/>
              </w:rPr>
              <w:t>(nejnižší)</w:t>
            </w:r>
          </w:p>
        </w:tc>
        <w:tc>
          <w:tcPr>
            <w:tcW w:w="2064" w:type="dxa"/>
          </w:tcPr>
          <w:p>
            <w:pPr>
              <w:pStyle w:val="TableParagraph"/>
              <w:spacing w:before="85"/>
              <w:ind w:left="129" w:right="223"/>
              <w:jc w:val="center"/>
              <w:rPr>
                <w:sz w:val="18"/>
              </w:rPr>
            </w:pPr>
            <w:r>
              <w:rPr>
                <w:spacing w:val="-4"/>
                <w:sz w:val="16"/>
              </w:rPr>
              <w:t>&lt;500</w:t>
            </w:r>
          </w:p>
        </w:tc>
        <w:tc>
          <w:tcPr>
            <w:tcW w:w="1631" w:type="dxa"/>
          </w:tcPr>
          <w:p>
            <w:pPr>
              <w:pStyle w:val="TableParagraph"/>
              <w:spacing w:before="85"/>
              <w:ind w:right="97"/>
              <w:jc w:val="center"/>
              <w:rPr>
                <w:sz w:val="18"/>
              </w:rPr>
            </w:pPr>
            <w:r>
              <w:rPr>
                <w:spacing w:val="-10"/>
                <w:sz w:val="16"/>
              </w:rPr>
              <w:t>--</w:t>
            </w:r>
          </w:p>
        </w:tc>
      </w:tr>
      <w:tr>
        <w:tblPrEx>
          <w:tblW w:w="0" w:type="auto"/>
          <w:tblInd w:w="480" w:type="dxa"/>
          <w:tblLayout w:type="fixed"/>
          <w:tblLook w:val="01E0"/>
        </w:tblPrEx>
        <w:trPr>
          <w:trHeight w:val="364"/>
        </w:trPr>
        <w:tc>
          <w:tcPr>
            <w:tcW w:w="1070" w:type="dxa"/>
            <w:vMerge/>
            <w:tcBorders>
              <w:top w:val="nil"/>
            </w:tcBorders>
          </w:tcPr>
          <w:p>
            <w:pPr>
              <w:rPr>
                <w:sz w:val="2"/>
                <w:szCs w:val="2"/>
              </w:rPr>
            </w:pPr>
          </w:p>
        </w:tc>
        <w:tc>
          <w:tcPr>
            <w:tcW w:w="1824" w:type="dxa"/>
          </w:tcPr>
          <w:p>
            <w:pPr>
              <w:pStyle w:val="TableParagraph"/>
              <w:spacing w:before="85"/>
              <w:ind w:left="5"/>
              <w:jc w:val="center"/>
              <w:rPr>
                <w:sz w:val="18"/>
              </w:rPr>
            </w:pPr>
            <w:r>
              <w:rPr>
                <w:sz w:val="16"/>
              </w:rPr>
              <w:t>Úroveň</w:t>
            </w:r>
            <w:r>
              <w:rPr>
                <w:sz w:val="16"/>
              </w:rPr>
              <w:t xml:space="preserve"> 13 </w:t>
            </w:r>
            <w:r>
              <w:rPr>
                <w:spacing w:val="-2"/>
                <w:sz w:val="16"/>
              </w:rPr>
              <w:t>(nejvyšší)</w:t>
            </w:r>
          </w:p>
        </w:tc>
        <w:tc>
          <w:tcPr>
            <w:tcW w:w="2064" w:type="dxa"/>
          </w:tcPr>
          <w:p>
            <w:pPr>
              <w:pStyle w:val="TableParagraph"/>
              <w:spacing w:before="85"/>
              <w:ind w:left="130" w:right="119"/>
              <w:jc w:val="center"/>
              <w:rPr>
                <w:sz w:val="18"/>
              </w:rPr>
            </w:pPr>
            <w:r>
              <w:rPr>
                <w:spacing w:val="-2"/>
                <w:sz w:val="16"/>
              </w:rPr>
              <w:t>&lt;3000</w:t>
            </w:r>
          </w:p>
        </w:tc>
        <w:tc>
          <w:tcPr>
            <w:tcW w:w="1631" w:type="dxa"/>
          </w:tcPr>
          <w:p>
            <w:pPr>
              <w:pStyle w:val="TableParagraph"/>
              <w:spacing w:before="85"/>
              <w:ind w:right="97"/>
              <w:jc w:val="center"/>
              <w:rPr>
                <w:sz w:val="18"/>
              </w:rPr>
            </w:pPr>
            <w:r>
              <w:rPr>
                <w:spacing w:val="-10"/>
                <w:sz w:val="16"/>
              </w:rPr>
              <w:t>--</w:t>
            </w:r>
          </w:p>
        </w:tc>
      </w:tr>
      <w:tr>
        <w:tblPrEx>
          <w:tblW w:w="0" w:type="auto"/>
          <w:tblInd w:w="480" w:type="dxa"/>
          <w:tblLayout w:type="fixed"/>
          <w:tblLook w:val="01E0"/>
        </w:tblPrEx>
        <w:trPr>
          <w:trHeight w:val="363"/>
        </w:trPr>
        <w:tc>
          <w:tcPr>
            <w:tcW w:w="1070" w:type="dxa"/>
            <w:vMerge w:val="restart"/>
          </w:tcPr>
          <w:p>
            <w:pPr>
              <w:pStyle w:val="TableParagraph"/>
              <w:spacing w:before="66"/>
              <w:rPr>
                <w:b/>
                <w:sz w:val="18"/>
              </w:rPr>
            </w:pPr>
          </w:p>
          <w:p>
            <w:pPr>
              <w:pStyle w:val="TableParagraph"/>
              <w:ind w:left="11" w:right="3"/>
              <w:jc w:val="center"/>
              <w:rPr>
                <w:sz w:val="18"/>
              </w:rPr>
            </w:pPr>
            <w:r>
              <w:rPr>
                <w:spacing w:val="-4"/>
                <w:sz w:val="16"/>
              </w:rPr>
              <w:t>1,00</w:t>
            </w:r>
          </w:p>
        </w:tc>
        <w:tc>
          <w:tcPr>
            <w:tcW w:w="1824" w:type="dxa"/>
          </w:tcPr>
          <w:p>
            <w:pPr>
              <w:pStyle w:val="TableParagraph"/>
              <w:spacing w:before="86"/>
              <w:ind w:left="5"/>
              <w:jc w:val="center"/>
              <w:rPr>
                <w:sz w:val="18"/>
              </w:rPr>
            </w:pPr>
            <w:r>
              <w:rPr>
                <w:sz w:val="16"/>
              </w:rPr>
              <w:t>Úroveň</w:t>
            </w:r>
            <w:r>
              <w:rPr>
                <w:sz w:val="16"/>
              </w:rPr>
              <w:t xml:space="preserve"> 1 </w:t>
            </w:r>
            <w:r>
              <w:rPr>
                <w:spacing w:val="-2"/>
                <w:sz w:val="16"/>
              </w:rPr>
              <w:t>(nejnižší)</w:t>
            </w:r>
          </w:p>
        </w:tc>
        <w:tc>
          <w:tcPr>
            <w:tcW w:w="2064" w:type="dxa"/>
          </w:tcPr>
          <w:p>
            <w:pPr>
              <w:pStyle w:val="TableParagraph"/>
              <w:spacing w:before="86"/>
              <w:ind w:left="129" w:right="223"/>
              <w:jc w:val="center"/>
              <w:rPr>
                <w:sz w:val="18"/>
              </w:rPr>
            </w:pPr>
            <w:r>
              <w:rPr>
                <w:spacing w:val="-5"/>
                <w:sz w:val="16"/>
              </w:rPr>
              <w:t>&lt;60</w:t>
            </w:r>
          </w:p>
        </w:tc>
        <w:tc>
          <w:tcPr>
            <w:tcW w:w="1631" w:type="dxa"/>
          </w:tcPr>
          <w:p>
            <w:pPr>
              <w:pStyle w:val="TableParagraph"/>
              <w:spacing w:before="86"/>
              <w:ind w:right="97"/>
              <w:jc w:val="center"/>
              <w:rPr>
                <w:sz w:val="18"/>
              </w:rPr>
            </w:pPr>
            <w:r>
              <w:rPr>
                <w:spacing w:val="-10"/>
                <w:sz w:val="16"/>
              </w:rPr>
              <w:t>--</w:t>
            </w:r>
          </w:p>
        </w:tc>
      </w:tr>
      <w:tr>
        <w:tblPrEx>
          <w:tblW w:w="0" w:type="auto"/>
          <w:tblInd w:w="480" w:type="dxa"/>
          <w:tblLayout w:type="fixed"/>
          <w:tblLook w:val="01E0"/>
        </w:tblPrEx>
        <w:trPr>
          <w:trHeight w:val="363"/>
        </w:trPr>
        <w:tc>
          <w:tcPr>
            <w:tcW w:w="1070" w:type="dxa"/>
            <w:vMerge/>
            <w:tcBorders>
              <w:top w:val="nil"/>
            </w:tcBorders>
          </w:tcPr>
          <w:p>
            <w:pPr>
              <w:rPr>
                <w:sz w:val="2"/>
                <w:szCs w:val="2"/>
              </w:rPr>
            </w:pPr>
          </w:p>
        </w:tc>
        <w:tc>
          <w:tcPr>
            <w:tcW w:w="1824" w:type="dxa"/>
          </w:tcPr>
          <w:p>
            <w:pPr>
              <w:pStyle w:val="TableParagraph"/>
              <w:spacing w:before="86"/>
              <w:ind w:left="5"/>
              <w:jc w:val="center"/>
              <w:rPr>
                <w:sz w:val="18"/>
              </w:rPr>
            </w:pPr>
            <w:r>
              <w:rPr>
                <w:sz w:val="16"/>
              </w:rPr>
              <w:t>Úroveň</w:t>
            </w:r>
            <w:r>
              <w:rPr>
                <w:sz w:val="16"/>
              </w:rPr>
              <w:t xml:space="preserve"> 13 </w:t>
            </w:r>
            <w:r>
              <w:rPr>
                <w:spacing w:val="-2"/>
                <w:sz w:val="16"/>
              </w:rPr>
              <w:t>(nejvyšší)</w:t>
            </w:r>
          </w:p>
        </w:tc>
        <w:tc>
          <w:tcPr>
            <w:tcW w:w="2064" w:type="dxa"/>
          </w:tcPr>
          <w:p>
            <w:pPr>
              <w:pStyle w:val="TableParagraph"/>
              <w:spacing w:before="86"/>
              <w:ind w:left="129" w:right="223"/>
              <w:jc w:val="center"/>
              <w:rPr>
                <w:sz w:val="18"/>
              </w:rPr>
            </w:pPr>
            <w:r>
              <w:rPr>
                <w:spacing w:val="-4"/>
                <w:sz w:val="16"/>
              </w:rPr>
              <w:t>&lt;300</w:t>
            </w:r>
          </w:p>
        </w:tc>
        <w:tc>
          <w:tcPr>
            <w:tcW w:w="1631" w:type="dxa"/>
          </w:tcPr>
          <w:p>
            <w:pPr>
              <w:pStyle w:val="TableParagraph"/>
              <w:spacing w:before="86"/>
              <w:ind w:right="97"/>
              <w:jc w:val="center"/>
              <w:rPr>
                <w:sz w:val="18"/>
              </w:rPr>
            </w:pPr>
            <w:r>
              <w:rPr>
                <w:spacing w:val="-10"/>
                <w:sz w:val="16"/>
              </w:rPr>
              <w:t>--</w:t>
            </w:r>
          </w:p>
        </w:tc>
      </w:tr>
      <w:tr>
        <w:tblPrEx>
          <w:tblW w:w="0" w:type="auto"/>
          <w:tblInd w:w="480" w:type="dxa"/>
          <w:tblLayout w:type="fixed"/>
          <w:tblLook w:val="01E0"/>
        </w:tblPrEx>
        <w:trPr>
          <w:trHeight w:val="363"/>
        </w:trPr>
        <w:tc>
          <w:tcPr>
            <w:tcW w:w="1070" w:type="dxa"/>
            <w:vMerge w:val="restart"/>
          </w:tcPr>
          <w:p>
            <w:pPr>
              <w:pStyle w:val="TableParagraph"/>
              <w:spacing w:before="66"/>
              <w:rPr>
                <w:b/>
                <w:sz w:val="18"/>
              </w:rPr>
            </w:pPr>
          </w:p>
          <w:p>
            <w:pPr>
              <w:pStyle w:val="TableParagraph"/>
              <w:spacing w:before="1"/>
              <w:ind w:left="11" w:right="3"/>
              <w:jc w:val="center"/>
              <w:rPr>
                <w:sz w:val="18"/>
              </w:rPr>
            </w:pPr>
            <w:r>
              <w:rPr>
                <w:spacing w:val="-4"/>
                <w:sz w:val="16"/>
              </w:rPr>
              <w:t>5,00</w:t>
            </w:r>
          </w:p>
        </w:tc>
        <w:tc>
          <w:tcPr>
            <w:tcW w:w="1824" w:type="dxa"/>
          </w:tcPr>
          <w:p>
            <w:pPr>
              <w:pStyle w:val="TableParagraph"/>
              <w:spacing w:before="86"/>
              <w:ind w:left="5"/>
              <w:jc w:val="center"/>
              <w:rPr>
                <w:sz w:val="18"/>
              </w:rPr>
            </w:pPr>
            <w:r>
              <w:rPr>
                <w:sz w:val="16"/>
              </w:rPr>
              <w:t>Úroveň</w:t>
            </w:r>
            <w:r>
              <w:rPr>
                <w:sz w:val="16"/>
              </w:rPr>
              <w:t xml:space="preserve"> 1 </w:t>
            </w:r>
            <w:r>
              <w:rPr>
                <w:spacing w:val="-2"/>
                <w:sz w:val="16"/>
              </w:rPr>
              <w:t>(nejnižší)</w:t>
            </w:r>
          </w:p>
        </w:tc>
        <w:tc>
          <w:tcPr>
            <w:tcW w:w="2064" w:type="dxa"/>
          </w:tcPr>
          <w:p>
            <w:pPr>
              <w:pStyle w:val="TableParagraph"/>
              <w:spacing w:before="86"/>
              <w:ind w:left="129" w:right="223"/>
              <w:jc w:val="center"/>
              <w:rPr>
                <w:sz w:val="18"/>
              </w:rPr>
            </w:pPr>
            <w:r>
              <w:rPr>
                <w:spacing w:val="-5"/>
                <w:sz w:val="16"/>
              </w:rPr>
              <w:t>&lt;10</w:t>
            </w:r>
          </w:p>
        </w:tc>
        <w:tc>
          <w:tcPr>
            <w:tcW w:w="1631" w:type="dxa"/>
          </w:tcPr>
          <w:p>
            <w:pPr>
              <w:pStyle w:val="TableParagraph"/>
              <w:spacing w:before="86"/>
              <w:ind w:left="2" w:right="97"/>
              <w:jc w:val="center"/>
              <w:rPr>
                <w:sz w:val="18"/>
              </w:rPr>
            </w:pPr>
            <w:r>
              <w:rPr>
                <w:spacing w:val="-4"/>
                <w:sz w:val="16"/>
              </w:rPr>
              <w:t>&lt;0,5</w:t>
            </w:r>
          </w:p>
        </w:tc>
      </w:tr>
      <w:tr>
        <w:tblPrEx>
          <w:tblW w:w="0" w:type="auto"/>
          <w:tblInd w:w="480" w:type="dxa"/>
          <w:tblLayout w:type="fixed"/>
          <w:tblLook w:val="01E0"/>
        </w:tblPrEx>
        <w:trPr>
          <w:trHeight w:val="363"/>
        </w:trPr>
        <w:tc>
          <w:tcPr>
            <w:tcW w:w="1070" w:type="dxa"/>
            <w:vMerge/>
            <w:tcBorders>
              <w:top w:val="nil"/>
            </w:tcBorders>
          </w:tcPr>
          <w:p>
            <w:pPr>
              <w:rPr>
                <w:sz w:val="2"/>
                <w:szCs w:val="2"/>
              </w:rPr>
            </w:pPr>
          </w:p>
        </w:tc>
        <w:tc>
          <w:tcPr>
            <w:tcW w:w="1824" w:type="dxa"/>
          </w:tcPr>
          <w:p>
            <w:pPr>
              <w:pStyle w:val="TableParagraph"/>
              <w:spacing w:before="87"/>
              <w:ind w:left="5"/>
              <w:jc w:val="center"/>
              <w:rPr>
                <w:sz w:val="18"/>
              </w:rPr>
            </w:pPr>
            <w:r>
              <w:rPr>
                <w:sz w:val="16"/>
              </w:rPr>
              <w:t>Úroveň</w:t>
            </w:r>
            <w:r>
              <w:rPr>
                <w:sz w:val="16"/>
              </w:rPr>
              <w:t xml:space="preserve"> 13 </w:t>
            </w:r>
            <w:r>
              <w:rPr>
                <w:spacing w:val="-2"/>
                <w:sz w:val="16"/>
              </w:rPr>
              <w:t>(nejvyšší)</w:t>
            </w:r>
          </w:p>
        </w:tc>
        <w:tc>
          <w:tcPr>
            <w:tcW w:w="2064" w:type="dxa"/>
          </w:tcPr>
          <w:p>
            <w:pPr>
              <w:pStyle w:val="TableParagraph"/>
              <w:spacing w:before="87"/>
              <w:ind w:left="129" w:right="223"/>
              <w:jc w:val="center"/>
              <w:rPr>
                <w:sz w:val="18"/>
              </w:rPr>
            </w:pPr>
            <w:r>
              <w:rPr>
                <w:spacing w:val="-5"/>
                <w:sz w:val="16"/>
              </w:rPr>
              <w:t>&lt;60</w:t>
            </w:r>
          </w:p>
        </w:tc>
        <w:tc>
          <w:tcPr>
            <w:tcW w:w="1631" w:type="dxa"/>
          </w:tcPr>
          <w:p>
            <w:pPr>
              <w:pStyle w:val="TableParagraph"/>
              <w:spacing w:before="87"/>
              <w:ind w:left="2" w:right="97"/>
              <w:jc w:val="center"/>
              <w:rPr>
                <w:sz w:val="18"/>
              </w:rPr>
            </w:pPr>
            <w:r>
              <w:rPr>
                <w:spacing w:val="-4"/>
                <w:sz w:val="16"/>
              </w:rPr>
              <w:t>&lt;1,0</w:t>
            </w:r>
          </w:p>
        </w:tc>
      </w:tr>
    </w:tbl>
    <w:p>
      <w:pPr>
        <w:pStyle w:val="BodyText"/>
        <w:spacing w:before="187" w:line="278" w:lineRule="auto"/>
        <w:ind w:right="293"/>
        <w:jc w:val="both"/>
      </w:pPr>
      <w:r>
        <w:rPr>
          <w:sz w:val="16"/>
        </w:rPr>
        <w:t>V tomto experimentu byla použita 5ml injekční stříkačka JR a výše uvedené údaje představují pouze závěry vyvozené ze vzorku 2 jednotek injekčních pump používajících injekční stříkačky JR. Jelikož tento produkt disponuje funkcí uvolnění tlaku, tlak v hadičkovém systému se po spuštění alarmu ucpání automaticky uvolní, a proto lze objem bolusu po uvolnění ucpání považovat za zanedbatelný.</w:t>
      </w:r>
    </w:p>
    <w:p>
      <w:pPr>
        <w:pStyle w:val="BodyText"/>
        <w:spacing w:after="0" w:line="278" w:lineRule="auto"/>
        <w:jc w:val="both"/>
        <w:sectPr>
          <w:type w:val="continuous"/>
          <w:pgSz w:w="8390" w:h="11910"/>
          <w:pgMar w:top="700" w:right="425" w:bottom="540" w:left="425" w:header="0" w:footer="342"/>
          <w:cols w:space="708"/>
        </w:sectPr>
      </w:pPr>
    </w:p>
    <w:p>
      <w:pPr>
        <w:pStyle w:val="Heading1"/>
        <w:spacing w:before="72"/>
        <w:ind w:left="295" w:firstLine="0"/>
      </w:pPr>
      <w:bookmarkStart w:id="114" w:name="Table 5 Start-up Curve"/>
      <w:bookmarkEnd w:id="114"/>
      <w:bookmarkStart w:id="115" w:name="_bookmark57"/>
      <w:bookmarkEnd w:id="115"/>
      <w:r>
        <w:rPr>
          <w:sz w:val="18"/>
        </w:rPr>
        <w:t>Tabulka</w:t>
      </w:r>
      <w:r>
        <w:rPr>
          <w:sz w:val="18"/>
        </w:rPr>
        <w:t xml:space="preserve"> 5 </w:t>
      </w:r>
      <w:r>
        <w:rPr>
          <w:sz w:val="18"/>
        </w:rPr>
        <w:t xml:space="preserve">Spouštěcí </w:t>
      </w:r>
      <w:r>
        <w:rPr>
          <w:spacing w:val="-4"/>
          <w:sz w:val="18"/>
        </w:rPr>
        <w:t>křivka</w:t>
      </w:r>
    </w:p>
    <w:p>
      <w:pPr>
        <w:pStyle w:val="BodyText"/>
        <w:spacing w:before="7"/>
        <w:ind w:left="0"/>
        <w:rPr>
          <w:b/>
          <w:sz w:val="10"/>
        </w:rPr>
      </w:pPr>
      <w:r>
        <w:rPr>
          <w:b/>
          <w:sz w:val="10"/>
        </w:rPr>
        <w:drawing>
          <wp:anchor distT="0" distB="0" distL="0" distR="0" simplePos="0" relativeHeight="251713536" behindDoc="1" locked="0" layoutInCell="1" allowOverlap="1">
            <wp:simplePos x="0" y="0"/>
            <wp:positionH relativeFrom="page">
              <wp:posOffset>739140</wp:posOffset>
            </wp:positionH>
            <wp:positionV relativeFrom="paragraph">
              <wp:posOffset>92868</wp:posOffset>
            </wp:positionV>
            <wp:extent cx="3844396" cy="1638300"/>
            <wp:effectExtent l="0" t="0" r="0" b="0"/>
            <wp:wrapTopAndBottom/>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xmlns:r="http://schemas.openxmlformats.org/officeDocument/2006/relationships" r:embed="rId81" cstate="print"/>
                    <a:stretch>
                      <a:fillRect/>
                    </a:stretch>
                  </pic:blipFill>
                  <pic:spPr>
                    <a:xfrm>
                      <a:off x="0" y="0"/>
                      <a:ext cx="3844396" cy="1638300"/>
                    </a:xfrm>
                    <a:prstGeom prst="rect">
                      <a:avLst/>
                    </a:prstGeom>
                  </pic:spPr>
                </pic:pic>
              </a:graphicData>
            </a:graphic>
          </wp:anchor>
        </w:drawing>
      </w:r>
    </w:p>
    <w:p>
      <w:pPr>
        <w:pStyle w:val="BodyText"/>
        <w:spacing w:before="30"/>
        <w:ind w:left="0"/>
        <w:rPr>
          <w:b/>
        </w:rPr>
      </w:pPr>
    </w:p>
    <w:p>
      <w:pPr>
        <w:pStyle w:val="BodyText"/>
        <w:spacing w:before="0"/>
        <w:ind w:left="120" w:right="121"/>
        <w:jc w:val="center"/>
      </w:pPr>
      <w:r>
        <w:rPr>
          <w:sz w:val="16"/>
        </w:rPr>
        <w:t xml:space="preserve">1 ml </w:t>
      </w:r>
      <w:r>
        <w:rPr>
          <w:spacing w:val="-2"/>
          <w:sz w:val="16"/>
        </w:rPr>
        <w:t xml:space="preserve">Diagram </w:t>
      </w:r>
      <w:r>
        <w:rPr>
          <w:sz w:val="16"/>
        </w:rPr>
        <w:t xml:space="preserve">spouštěcí </w:t>
      </w:r>
      <w:r>
        <w:rPr>
          <w:sz w:val="16"/>
        </w:rPr>
        <w:t>křivky</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29"/>
        <w:ind w:left="0"/>
        <w:rPr>
          <w:sz w:val="20"/>
        </w:rPr>
      </w:pPr>
      <w:r>
        <w:rPr>
          <w:sz w:val="20"/>
        </w:rPr>
        <w:drawing>
          <wp:anchor distT="0" distB="0" distL="0" distR="0" simplePos="0" relativeHeight="251714560" behindDoc="1" locked="0" layoutInCell="1" allowOverlap="1">
            <wp:simplePos x="0" y="0"/>
            <wp:positionH relativeFrom="page">
              <wp:posOffset>990600</wp:posOffset>
            </wp:positionH>
            <wp:positionV relativeFrom="paragraph">
              <wp:posOffset>243643</wp:posOffset>
            </wp:positionV>
            <wp:extent cx="3319328" cy="1499615"/>
            <wp:effectExtent l="0" t="0" r="0" b="0"/>
            <wp:wrapTopAndBottom/>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xmlns:r="http://schemas.openxmlformats.org/officeDocument/2006/relationships" r:embed="rId82" cstate="print"/>
                    <a:stretch>
                      <a:fillRect/>
                    </a:stretch>
                  </pic:blipFill>
                  <pic:spPr>
                    <a:xfrm>
                      <a:off x="0" y="0"/>
                      <a:ext cx="3319328" cy="1499615"/>
                    </a:xfrm>
                    <a:prstGeom prst="rect">
                      <a:avLst/>
                    </a:prstGeom>
                  </pic:spPr>
                </pic:pic>
              </a:graphicData>
            </a:graphic>
          </wp:anchor>
        </w:drawing>
      </w:r>
    </w:p>
    <w:p>
      <w:pPr>
        <w:pStyle w:val="BodyText"/>
        <w:spacing w:before="0"/>
        <w:ind w:left="0"/>
      </w:pPr>
    </w:p>
    <w:p>
      <w:pPr>
        <w:pStyle w:val="BodyText"/>
        <w:spacing w:before="170"/>
        <w:ind w:left="0"/>
      </w:pPr>
    </w:p>
    <w:p>
      <w:pPr>
        <w:pStyle w:val="BodyText"/>
        <w:spacing w:before="1"/>
        <w:ind w:left="120" w:right="121"/>
        <w:jc w:val="center"/>
      </w:pPr>
      <w:r>
        <w:rPr>
          <w:sz w:val="16"/>
        </w:rPr>
        <w:t xml:space="preserve">5ml </w:t>
      </w:r>
      <w:r>
        <w:rPr>
          <w:spacing w:val="-2"/>
          <w:sz w:val="16"/>
        </w:rPr>
        <w:t xml:space="preserve">Diagram </w:t>
      </w:r>
      <w:r>
        <w:rPr>
          <w:sz w:val="16"/>
        </w:rPr>
        <w:t xml:space="preserve">startovací </w:t>
      </w:r>
      <w:r>
        <w:rPr>
          <w:sz w:val="16"/>
        </w:rPr>
        <w:t>křivky</w:t>
      </w:r>
    </w:p>
    <w:p>
      <w:pPr>
        <w:pStyle w:val="BodyText"/>
        <w:spacing w:after="0"/>
        <w:jc w:val="center"/>
        <w:sectPr>
          <w:pgSz w:w="8390" w:h="11910"/>
          <w:pgMar w:top="640" w:right="425" w:bottom="540" w:left="425" w:header="0" w:footer="342"/>
          <w:cols w:space="708"/>
        </w:sectPr>
      </w:pPr>
    </w:p>
    <w:p>
      <w:pPr>
        <w:pStyle w:val="Heading1"/>
        <w:spacing w:before="72"/>
        <w:ind w:left="295" w:firstLine="0"/>
      </w:pPr>
      <w:bookmarkStart w:id="116" w:name="Table 6 Trumpet curve"/>
      <w:bookmarkEnd w:id="116"/>
      <w:bookmarkStart w:id="117" w:name="_bookmark58"/>
      <w:bookmarkEnd w:id="117"/>
      <w:r>
        <w:rPr>
          <w:spacing w:val="-2"/>
          <w:sz w:val="18"/>
        </w:rPr>
        <w:t>Tabulka</w:t>
      </w:r>
      <w:r>
        <w:rPr>
          <w:spacing w:val="-2"/>
          <w:sz w:val="18"/>
        </w:rPr>
        <w:t xml:space="preserve"> 6 </w:t>
      </w:r>
      <w:r>
        <w:rPr>
          <w:spacing w:val="-2"/>
          <w:sz w:val="18"/>
        </w:rPr>
        <w:t xml:space="preserve">Trumpetová </w:t>
      </w:r>
      <w:r>
        <w:rPr>
          <w:spacing w:val="-4"/>
          <w:sz w:val="18"/>
        </w:rPr>
        <w:t>křivka</w:t>
      </w:r>
    </w:p>
    <w:p>
      <w:pPr>
        <w:pStyle w:val="BodyText"/>
        <w:spacing w:before="1"/>
        <w:ind w:left="0"/>
        <w:rPr>
          <w:b/>
          <w:sz w:val="12"/>
        </w:rPr>
      </w:pPr>
      <w:r>
        <w:rPr>
          <w:b/>
          <w:sz w:val="12"/>
        </w:rPr>
        <w:drawing>
          <wp:anchor distT="0" distB="0" distL="0" distR="0" simplePos="0" relativeHeight="251715584" behindDoc="1" locked="0" layoutInCell="1" allowOverlap="1">
            <wp:simplePos x="0" y="0"/>
            <wp:positionH relativeFrom="page">
              <wp:posOffset>554736</wp:posOffset>
            </wp:positionH>
            <wp:positionV relativeFrom="paragraph">
              <wp:posOffset>103604</wp:posOffset>
            </wp:positionV>
            <wp:extent cx="4207629" cy="2041398"/>
            <wp:effectExtent l="0" t="0" r="0" b="0"/>
            <wp:wrapTopAndBottom/>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xmlns:r="http://schemas.openxmlformats.org/officeDocument/2006/relationships" r:embed="rId83" cstate="print"/>
                    <a:stretch>
                      <a:fillRect/>
                    </a:stretch>
                  </pic:blipFill>
                  <pic:spPr>
                    <a:xfrm>
                      <a:off x="0" y="0"/>
                      <a:ext cx="4207629" cy="2041398"/>
                    </a:xfrm>
                    <a:prstGeom prst="rect">
                      <a:avLst/>
                    </a:prstGeom>
                  </pic:spPr>
                </pic:pic>
              </a:graphicData>
            </a:graphic>
          </wp:anchor>
        </w:drawing>
      </w:r>
    </w:p>
    <w:p>
      <w:pPr>
        <w:pStyle w:val="BodyText"/>
        <w:spacing w:before="204"/>
        <w:ind w:left="0"/>
        <w:rPr>
          <w:b/>
        </w:rPr>
      </w:pPr>
    </w:p>
    <w:p>
      <w:pPr>
        <w:pStyle w:val="BodyText"/>
        <w:spacing w:before="0"/>
        <w:ind w:left="120" w:right="121"/>
        <w:jc w:val="center"/>
      </w:pPr>
      <w:r>
        <w:rPr>
          <w:spacing w:val="35"/>
          <w:sz w:val="16"/>
        </w:rPr>
        <w:t xml:space="preserve">  </w:t>
      </w:r>
      <w:r>
        <w:rPr>
          <w:sz w:val="16"/>
        </w:rPr>
        <w:t xml:space="preserve"> ká trubková </w:t>
      </w:r>
      <w:r>
        <w:rPr>
          <w:spacing w:val="-4"/>
          <w:sz w:val="16"/>
        </w:rPr>
        <w:t>křivka</w:t>
      </w:r>
      <w:r>
        <w:rPr>
          <w:sz w:val="16"/>
        </w:rPr>
        <w:t xml:space="preserve"> 1 ml/h</w:t>
      </w:r>
    </w:p>
    <w:p>
      <w:pPr>
        <w:pStyle w:val="BodyText"/>
        <w:spacing w:before="0"/>
        <w:ind w:left="0"/>
        <w:rPr>
          <w:sz w:val="20"/>
        </w:rPr>
      </w:pPr>
    </w:p>
    <w:p>
      <w:pPr>
        <w:pStyle w:val="BodyText"/>
        <w:spacing w:before="0"/>
        <w:ind w:left="0"/>
        <w:rPr>
          <w:sz w:val="20"/>
        </w:rPr>
      </w:pPr>
    </w:p>
    <w:p>
      <w:pPr>
        <w:pStyle w:val="BodyText"/>
        <w:spacing w:before="211"/>
        <w:ind w:left="0"/>
        <w:rPr>
          <w:sz w:val="20"/>
        </w:rPr>
      </w:pPr>
      <w:r>
        <w:rPr>
          <w:sz w:val="20"/>
        </w:rPr>
        <w:drawing>
          <wp:anchor distT="0" distB="0" distL="0" distR="0" simplePos="0" relativeHeight="251716608" behindDoc="1" locked="0" layoutInCell="1" allowOverlap="1">
            <wp:simplePos x="0" y="0"/>
            <wp:positionH relativeFrom="page">
              <wp:posOffset>660202</wp:posOffset>
            </wp:positionH>
            <wp:positionV relativeFrom="paragraph">
              <wp:posOffset>295320</wp:posOffset>
            </wp:positionV>
            <wp:extent cx="4112473" cy="1978152"/>
            <wp:effectExtent l="0" t="0" r="0" b="0"/>
            <wp:wrapTopAndBottom/>
            <wp:docPr id="99"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xmlns:r="http://schemas.openxmlformats.org/officeDocument/2006/relationships" r:embed="rId84" cstate="print"/>
                    <a:stretch>
                      <a:fillRect/>
                    </a:stretch>
                  </pic:blipFill>
                  <pic:spPr>
                    <a:xfrm>
                      <a:off x="0" y="0"/>
                      <a:ext cx="4112473" cy="1978152"/>
                    </a:xfrm>
                    <a:prstGeom prst="rect">
                      <a:avLst/>
                    </a:prstGeom>
                  </pic:spPr>
                </pic:pic>
              </a:graphicData>
            </a:graphic>
          </wp:anchor>
        </w:drawing>
      </w:r>
    </w:p>
    <w:p>
      <w:pPr>
        <w:pStyle w:val="BodyText"/>
        <w:spacing w:before="0"/>
        <w:ind w:left="0"/>
      </w:pPr>
    </w:p>
    <w:p>
      <w:pPr>
        <w:pStyle w:val="BodyText"/>
        <w:spacing w:before="163"/>
        <w:ind w:left="0"/>
      </w:pPr>
    </w:p>
    <w:p>
      <w:pPr>
        <w:pStyle w:val="BodyText"/>
        <w:spacing w:before="0"/>
        <w:ind w:left="120" w:right="121"/>
        <w:jc w:val="center"/>
      </w:pPr>
      <w:r>
        <w:rPr>
          <w:sz w:val="16"/>
        </w:rPr>
        <w:t xml:space="preserve">5 ml/h </w:t>
      </w:r>
      <w:r>
        <w:rPr>
          <w:spacing w:val="-4"/>
          <w:sz w:val="16"/>
        </w:rPr>
        <w:t xml:space="preserve">Křivka </w:t>
      </w:r>
      <w:r>
        <w:rPr>
          <w:sz w:val="16"/>
        </w:rPr>
        <w:t>trumpety</w:t>
      </w:r>
    </w:p>
    <w:p>
      <w:pPr>
        <w:pStyle w:val="BodyText"/>
        <w:spacing w:before="189" w:line="278" w:lineRule="auto"/>
        <w:ind w:right="292"/>
        <w:jc w:val="both"/>
      </w:pPr>
      <w:r>
        <w:rPr>
          <w:sz w:val="16"/>
        </w:rPr>
        <w:t xml:space="preserve">Výše uvedené výsledky jsou založeny na datech získaných z testů provedených podle normy IEC 60601-2-24 a produktových norem naší společnosti a představují výsledky testů 1 </w:t>
      </w:r>
      <w:r>
        <w:rPr>
          <w:sz w:val="16"/>
        </w:rPr>
        <w:t xml:space="preserve">vzorku </w:t>
      </w:r>
      <w:r>
        <w:rPr>
          <w:sz w:val="16"/>
        </w:rPr>
        <w:t xml:space="preserve">injekční pumpy </w:t>
      </w:r>
      <w:r>
        <w:rPr>
          <w:sz w:val="16"/>
        </w:rPr>
        <w:t xml:space="preserve">a </w:t>
      </w:r>
      <w:r>
        <w:rPr>
          <w:sz w:val="16"/>
        </w:rPr>
        <w:t>injekční stříkačky (</w:t>
      </w:r>
      <w:r>
        <w:rPr>
          <w:sz w:val="16"/>
        </w:rPr>
        <w:t xml:space="preserve">značka </w:t>
      </w:r>
      <w:r>
        <w:rPr>
          <w:sz w:val="16"/>
        </w:rPr>
        <w:t>Jierui</w:t>
      </w:r>
      <w:r>
        <w:rPr>
          <w:sz w:val="16"/>
        </w:rPr>
        <w:t xml:space="preserve"> 10 ml) použitých </w:t>
      </w:r>
      <w:r>
        <w:rPr>
          <w:sz w:val="16"/>
        </w:rPr>
        <w:t xml:space="preserve">během </w:t>
      </w:r>
      <w:r>
        <w:rPr>
          <w:sz w:val="16"/>
        </w:rPr>
        <w:t xml:space="preserve">experimentu. </w:t>
      </w:r>
      <w:r>
        <w:rPr>
          <w:sz w:val="16"/>
        </w:rPr>
        <w:t xml:space="preserve">Pro </w:t>
      </w:r>
      <w:r>
        <w:rPr>
          <w:sz w:val="16"/>
        </w:rPr>
        <w:t>více informací kontaktujte naše oddělení poprodejního servisu.</w:t>
      </w:r>
    </w:p>
    <w:p>
      <w:pPr>
        <w:pStyle w:val="BodyText"/>
        <w:spacing w:after="0" w:line="278" w:lineRule="auto"/>
        <w:jc w:val="both"/>
        <w:sectPr>
          <w:pgSz w:w="8390" w:h="11910"/>
          <w:pgMar w:top="640" w:right="425" w:bottom="540" w:left="425" w:header="0" w:footer="342"/>
          <w:cols w:space="708"/>
        </w:sectPr>
      </w:pPr>
    </w:p>
    <w:p>
      <w:pPr>
        <w:pStyle w:val="Heading1"/>
        <w:spacing w:before="75"/>
        <w:ind w:left="295" w:firstLine="0"/>
      </w:pPr>
      <w:bookmarkStart w:id="118" w:name="Appendix II Electromagnetic Compatibilit"/>
      <w:bookmarkEnd w:id="118"/>
      <w:bookmarkStart w:id="119" w:name="_bookmark59"/>
      <w:bookmarkEnd w:id="119"/>
      <w:r>
        <w:rPr>
          <w:sz w:val="18"/>
        </w:rPr>
        <w:t xml:space="preserve">Příloha </w:t>
      </w:r>
      <w:r>
        <w:rPr>
          <w:sz w:val="18"/>
        </w:rPr>
        <w:t xml:space="preserve">II </w:t>
      </w:r>
      <w:r>
        <w:rPr>
          <w:sz w:val="18"/>
        </w:rPr>
        <w:t xml:space="preserve">Elektromagnetická </w:t>
      </w:r>
      <w:r>
        <w:rPr>
          <w:spacing w:val="-2"/>
          <w:sz w:val="18"/>
        </w:rPr>
        <w:t>kompatibilita</w:t>
      </w:r>
    </w:p>
    <w:p>
      <w:pPr>
        <w:spacing w:before="205"/>
        <w:ind w:left="295" w:right="0" w:firstLine="0"/>
        <w:jc w:val="left"/>
        <w:rPr>
          <w:sz w:val="18"/>
        </w:rPr>
      </w:pPr>
      <w:r>
        <w:rPr>
          <w:position w:val="1"/>
        </w:rPr>
        <w:drawing>
          <wp:inline distT="0" distB="0" distL="0" distR="0">
            <wp:extent cx="272744" cy="241401"/>
            <wp:effectExtent l="0" t="0" r="0" b="0"/>
            <wp:docPr id="100" name="Image 100"/>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xmlns:r="http://schemas.openxmlformats.org/officeDocument/2006/relationships" r:embed="rId85" cstate="print"/>
                    <a:stretch>
                      <a:fillRect/>
                    </a:stretch>
                  </pic:blipFill>
                  <pic:spPr>
                    <a:xfrm>
                      <a:off x="0" y="0"/>
                      <a:ext cx="272744" cy="241401"/>
                    </a:xfrm>
                    <a:prstGeom prst="rect">
                      <a:avLst/>
                    </a:prstGeom>
                  </pic:spPr>
                </pic:pic>
              </a:graphicData>
            </a:graphic>
          </wp:inline>
        </w:drawing>
      </w:r>
      <w:r>
        <w:rPr>
          <w:sz w:val="16"/>
        </w:rPr>
        <w:t xml:space="preserve"> Poznámka:</w:t>
      </w:r>
    </w:p>
    <w:p>
      <w:pPr>
        <w:pStyle w:val="BodyText"/>
        <w:spacing w:before="180" w:line="278" w:lineRule="auto"/>
        <w:ind w:right="294"/>
        <w:jc w:val="both"/>
      </w:pPr>
      <w:r>
        <w:rPr>
          <w:sz w:val="16"/>
        </w:rPr>
        <w:t>Injekční pumpa HK-400III splňuje požadavky týkající se elektromagnetické kompatibility podle norem IEC 60601-1-2 a IEC 60601-2-24.</w:t>
      </w:r>
    </w:p>
    <w:p>
      <w:pPr>
        <w:pStyle w:val="BodyText"/>
        <w:spacing w:line="278" w:lineRule="auto"/>
        <w:ind w:right="293"/>
        <w:jc w:val="both"/>
      </w:pPr>
      <w:r>
        <w:rPr>
          <w:sz w:val="16"/>
        </w:rPr>
        <w:t>Uživatelé by jej měli instalovat a používat na základě informací o elektromagnetické kompatibilitě uvedených v přiložené dokumentaci.</w:t>
      </w:r>
    </w:p>
    <w:p>
      <w:pPr>
        <w:pStyle w:val="BodyText"/>
        <w:spacing w:before="155" w:line="278" w:lineRule="auto"/>
        <w:ind w:right="291"/>
        <w:jc w:val="both"/>
      </w:pPr>
      <w:r>
        <w:rPr>
          <w:sz w:val="16"/>
        </w:rPr>
        <w:t>Přenos</w:t>
      </w:r>
      <w:r>
        <w:rPr>
          <w:sz w:val="16"/>
        </w:rPr>
        <w:t xml:space="preserve">ná </w:t>
      </w:r>
      <w:r>
        <w:rPr>
          <w:sz w:val="16"/>
        </w:rPr>
        <w:t xml:space="preserve">a </w:t>
      </w:r>
      <w:r>
        <w:rPr>
          <w:sz w:val="16"/>
        </w:rPr>
        <w:t xml:space="preserve">mobilní </w:t>
      </w:r>
      <w:r>
        <w:rPr>
          <w:sz w:val="16"/>
        </w:rPr>
        <w:t xml:space="preserve">RF </w:t>
      </w:r>
      <w:r>
        <w:rPr>
          <w:sz w:val="16"/>
        </w:rPr>
        <w:t xml:space="preserve">komunikační </w:t>
      </w:r>
      <w:r>
        <w:rPr>
          <w:sz w:val="16"/>
        </w:rPr>
        <w:t xml:space="preserve">zařízení </w:t>
      </w:r>
      <w:r>
        <w:rPr>
          <w:sz w:val="16"/>
        </w:rPr>
        <w:t xml:space="preserve">mohou </w:t>
      </w:r>
      <w:r>
        <w:rPr>
          <w:sz w:val="16"/>
        </w:rPr>
        <w:t xml:space="preserve">ovlivnit </w:t>
      </w:r>
      <w:r>
        <w:rPr>
          <w:sz w:val="16"/>
        </w:rPr>
        <w:t xml:space="preserve">výkon </w:t>
      </w:r>
      <w:r>
        <w:rPr>
          <w:sz w:val="16"/>
        </w:rPr>
        <w:t>injekční pumpy HK-400III. Při používání se vyhýbejte silnému elektromagnetickému rušení, například v blízkosti mobilních telefonů, mikrovlnných troub atd.</w:t>
      </w:r>
    </w:p>
    <w:p>
      <w:pPr>
        <w:pStyle w:val="BodyText"/>
      </w:pPr>
      <w:r>
        <w:rPr>
          <w:sz w:val="16"/>
        </w:rPr>
        <w:t xml:space="preserve">Podrobnosti </w:t>
      </w:r>
      <w:r>
        <w:rPr>
          <w:sz w:val="16"/>
        </w:rPr>
        <w:t xml:space="preserve">o </w:t>
      </w:r>
      <w:r>
        <w:rPr>
          <w:sz w:val="16"/>
        </w:rPr>
        <w:t xml:space="preserve">pokynech </w:t>
      </w:r>
      <w:r>
        <w:rPr>
          <w:sz w:val="16"/>
        </w:rPr>
        <w:t xml:space="preserve">a </w:t>
      </w:r>
      <w:r>
        <w:rPr>
          <w:spacing w:val="-2"/>
          <w:sz w:val="16"/>
        </w:rPr>
        <w:t xml:space="preserve">prohlášení </w:t>
      </w:r>
      <w:r>
        <w:rPr>
          <w:sz w:val="16"/>
        </w:rPr>
        <w:t xml:space="preserve">výrobce </w:t>
      </w:r>
      <w:r>
        <w:rPr>
          <w:sz w:val="16"/>
        </w:rPr>
        <w:t xml:space="preserve">naleznete </w:t>
      </w:r>
      <w:r>
        <w:rPr>
          <w:sz w:val="16"/>
        </w:rPr>
        <w:t>v</w:t>
      </w:r>
      <w:r>
        <w:rPr>
          <w:sz w:val="16"/>
        </w:rPr>
        <w:t xml:space="preserve"> příloze</w:t>
      </w:r>
      <w:r>
        <w:rPr>
          <w:spacing w:val="-2"/>
          <w:sz w:val="16"/>
        </w:rPr>
        <w:t>.</w:t>
      </w:r>
    </w:p>
    <w:p>
      <w:pPr>
        <w:pStyle w:val="BodyText"/>
        <w:spacing w:before="123"/>
        <w:ind w:left="0"/>
      </w:pPr>
    </w:p>
    <w:p>
      <w:pPr>
        <w:spacing w:before="0"/>
        <w:ind w:left="295" w:right="0" w:firstLine="0"/>
        <w:jc w:val="left"/>
        <w:rPr>
          <w:sz w:val="20"/>
        </w:rPr>
      </w:pPr>
      <w:r>
        <w:rPr>
          <w:position w:val="1"/>
        </w:rPr>
        <w:drawing>
          <wp:inline distT="0" distB="0" distL="0" distR="0">
            <wp:extent cx="272744" cy="241401"/>
            <wp:effectExtent l="0" t="0" r="0" b="0"/>
            <wp:docPr id="101" name="Image 10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xmlns:r="http://schemas.openxmlformats.org/officeDocument/2006/relationships" r:embed="rId85" cstate="print"/>
                    <a:stretch>
                      <a:fillRect/>
                    </a:stretch>
                  </pic:blipFill>
                  <pic:spPr>
                    <a:xfrm>
                      <a:off x="0" y="0"/>
                      <a:ext cx="272744" cy="241401"/>
                    </a:xfrm>
                    <a:prstGeom prst="rect">
                      <a:avLst/>
                    </a:prstGeom>
                  </pic:spPr>
                </pic:pic>
              </a:graphicData>
            </a:graphic>
          </wp:inline>
        </w:drawing>
      </w:r>
      <w:r>
        <w:rPr>
          <w:sz w:val="18"/>
        </w:rPr>
        <w:t xml:space="preserve"> Varování:</w:t>
      </w:r>
    </w:p>
    <w:p>
      <w:pPr>
        <w:pStyle w:val="BodyText"/>
        <w:spacing w:before="180" w:line="278" w:lineRule="auto"/>
        <w:ind w:right="294"/>
        <w:jc w:val="both"/>
      </w:pPr>
      <w:r>
        <w:rPr>
          <w:sz w:val="16"/>
        </w:rPr>
        <w:t>Injekční pumpu HK-400III nelze používat v blízkosti jiných zařízení ani je na sebe stohovat. Pokud je nutné ji používat v blízkosti jiných zařízení nebo je na sebe stohovat, je třeba sledovat a ověřit, zda v dané konfiguraci funguje normálně.</w:t>
      </w:r>
    </w:p>
    <w:p>
      <w:pPr>
        <w:pStyle w:val="BodyText"/>
        <w:spacing w:line="278" w:lineRule="auto"/>
        <w:ind w:right="250"/>
        <w:jc w:val="both"/>
      </w:pPr>
      <w:r>
        <w:rPr>
          <w:sz w:val="16"/>
        </w:rPr>
        <w:t xml:space="preserve">V souladu </w:t>
      </w:r>
      <w:r>
        <w:rPr>
          <w:sz w:val="16"/>
        </w:rPr>
        <w:t xml:space="preserve">s </w:t>
      </w:r>
      <w:r>
        <w:rPr>
          <w:sz w:val="16"/>
        </w:rPr>
        <w:t xml:space="preserve">určeným </w:t>
      </w:r>
      <w:r>
        <w:rPr>
          <w:sz w:val="16"/>
        </w:rPr>
        <w:t xml:space="preserve">použitím </w:t>
      </w:r>
      <w:r>
        <w:rPr>
          <w:sz w:val="16"/>
        </w:rPr>
        <w:t xml:space="preserve">a elektromagnetickým prostředím </w:t>
      </w:r>
      <w:r>
        <w:rPr>
          <w:sz w:val="16"/>
        </w:rPr>
        <w:t xml:space="preserve">injekční pumpy </w:t>
      </w:r>
      <w:r>
        <w:rPr>
          <w:sz w:val="16"/>
        </w:rPr>
        <w:t xml:space="preserve">HK-400III </w:t>
      </w:r>
      <w:r>
        <w:rPr>
          <w:sz w:val="16"/>
        </w:rPr>
        <w:t>se toto zařízení nepoužívá v obytných prostorech a nemůže v takových prostředích poskytovat dostatečnou ochranu pro příjem rádiového signálu.</w:t>
      </w:r>
    </w:p>
    <w:p>
      <w:pPr>
        <w:pStyle w:val="BodyText"/>
        <w:spacing w:before="155" w:line="278" w:lineRule="auto"/>
        <w:ind w:right="292"/>
        <w:jc w:val="both"/>
      </w:pPr>
      <w:r>
        <w:rPr>
          <w:sz w:val="16"/>
        </w:rPr>
        <w:t xml:space="preserve">Kromě snímačů a </w:t>
      </w:r>
      <w:r>
        <w:rPr>
          <w:sz w:val="16"/>
        </w:rPr>
        <w:t xml:space="preserve">kabelů prodávaných </w:t>
      </w:r>
      <w:r>
        <w:rPr>
          <w:sz w:val="16"/>
        </w:rPr>
        <w:t xml:space="preserve">jako náhradní vnitřní součásti </w:t>
      </w:r>
      <w:r>
        <w:rPr>
          <w:sz w:val="16"/>
        </w:rPr>
        <w:t>výrobcem injekční pumpy HK-400III může použití nespecifikovaného příslušenství, snímačů a kabelů zvýšit emise nebo snížit odolnost injekční pumpy HK-400III.</w:t>
      </w:r>
    </w:p>
    <w:p>
      <w:pPr>
        <w:pStyle w:val="BodyText"/>
        <w:spacing w:line="278" w:lineRule="auto"/>
        <w:ind w:right="291"/>
        <w:jc w:val="both"/>
      </w:pPr>
      <w:r>
        <w:rPr>
          <w:sz w:val="16"/>
        </w:rPr>
        <w:t xml:space="preserve">Varování: </w:t>
      </w:r>
      <w:r>
        <w:rPr>
          <w:sz w:val="16"/>
        </w:rPr>
        <w:t xml:space="preserve">I </w:t>
      </w:r>
      <w:r>
        <w:rPr>
          <w:sz w:val="16"/>
        </w:rPr>
        <w:t xml:space="preserve">když </w:t>
      </w:r>
      <w:r>
        <w:rPr>
          <w:sz w:val="16"/>
        </w:rPr>
        <w:t xml:space="preserve">jsou </w:t>
      </w:r>
      <w:r>
        <w:rPr>
          <w:sz w:val="16"/>
        </w:rPr>
        <w:t xml:space="preserve">ostatní </w:t>
      </w:r>
      <w:r>
        <w:rPr>
          <w:sz w:val="16"/>
        </w:rPr>
        <w:t xml:space="preserve">zařízení </w:t>
      </w:r>
      <w:r>
        <w:rPr>
          <w:sz w:val="16"/>
        </w:rPr>
        <w:t xml:space="preserve">v souladu </w:t>
      </w:r>
      <w:r>
        <w:rPr>
          <w:sz w:val="16"/>
        </w:rPr>
        <w:t xml:space="preserve">s </w:t>
      </w:r>
      <w:r>
        <w:rPr>
          <w:sz w:val="16"/>
        </w:rPr>
        <w:t xml:space="preserve">příslušnými </w:t>
      </w:r>
      <w:r>
        <w:rPr>
          <w:sz w:val="16"/>
        </w:rPr>
        <w:t xml:space="preserve">národními </w:t>
      </w:r>
      <w:r>
        <w:rPr>
          <w:sz w:val="16"/>
        </w:rPr>
        <w:t xml:space="preserve">emisními </w:t>
      </w:r>
      <w:r>
        <w:rPr>
          <w:sz w:val="16"/>
        </w:rPr>
        <w:t xml:space="preserve">normami, </w:t>
      </w:r>
      <w:r>
        <w:rPr>
          <w:sz w:val="16"/>
        </w:rPr>
        <w:t>může být injekční pumpa HK-400III stále rušena jinými zařízeními.</w:t>
      </w:r>
    </w:p>
    <w:p>
      <w:pPr>
        <w:pStyle w:val="BodyText"/>
        <w:spacing w:line="278" w:lineRule="auto"/>
        <w:ind w:right="291"/>
        <w:jc w:val="both"/>
      </w:pPr>
      <w:r>
        <w:rPr>
          <w:sz w:val="16"/>
        </w:rPr>
        <w:t>Modul WIFI používá protokol IEEE802.11/n, frekvenční pásmo WIFI je 2,4 G, maximální přenosová rychlost je 72 Mb/s a přenosový výkon je 15 dBm.</w:t>
      </w:r>
    </w:p>
    <w:p>
      <w:pPr>
        <w:pStyle w:val="BodyText"/>
      </w:pPr>
      <w:r>
        <w:rPr>
          <w:sz w:val="16"/>
        </w:rPr>
        <w:t xml:space="preserve">Základní </w:t>
      </w:r>
      <w:r>
        <w:rPr>
          <w:sz w:val="16"/>
        </w:rPr>
        <w:t xml:space="preserve">výkonnost </w:t>
      </w:r>
      <w:r>
        <w:rPr>
          <w:sz w:val="16"/>
        </w:rPr>
        <w:t xml:space="preserve">produktu je </w:t>
      </w:r>
      <w:r>
        <w:rPr>
          <w:spacing w:val="-2"/>
          <w:sz w:val="16"/>
        </w:rPr>
        <w:t>následující:</w:t>
      </w:r>
    </w:p>
    <w:p>
      <w:pPr>
        <w:pStyle w:val="BodyText"/>
        <w:spacing w:before="96"/>
      </w:pPr>
      <w:r>
        <w:rPr>
          <w:rFonts w:ascii="Noto Sans CJK JP" w:hAnsi="Noto Sans CJK JP"/>
          <w:sz w:val="16"/>
        </w:rPr>
        <w:t xml:space="preserve">① </w:t>
      </w:r>
      <w:r>
        <w:rPr>
          <w:spacing w:val="-2"/>
          <w:sz w:val="16"/>
        </w:rPr>
        <w:t xml:space="preserve">Přesnost </w:t>
      </w:r>
      <w:r>
        <w:rPr>
          <w:sz w:val="16"/>
        </w:rPr>
        <w:t>injekce</w:t>
      </w:r>
    </w:p>
    <w:p>
      <w:pPr>
        <w:pStyle w:val="ListParagraph"/>
        <w:numPr>
          <w:ilvl w:val="0"/>
          <w:numId w:val="3"/>
        </w:numPr>
        <w:tabs>
          <w:tab w:val="left" w:pos="493"/>
        </w:tabs>
        <w:spacing w:before="124" w:after="0" w:line="278" w:lineRule="auto"/>
        <w:ind w:left="295" w:right="296" w:firstLine="0"/>
        <w:jc w:val="left"/>
        <w:rPr>
          <w:sz w:val="18"/>
        </w:rPr>
      </w:pPr>
      <w:r>
        <w:rPr>
          <w:sz w:val="16"/>
        </w:rPr>
        <w:t>Za standardních testovacích podmínek by chyba injekce při rychlostech větších nebo rovných 1 ml/h měla být ≤±2 %.</w:t>
      </w:r>
    </w:p>
    <w:p>
      <w:pPr>
        <w:pStyle w:val="ListParagraph"/>
        <w:numPr>
          <w:ilvl w:val="0"/>
          <w:numId w:val="3"/>
        </w:numPr>
        <w:tabs>
          <w:tab w:val="left" w:pos="526"/>
        </w:tabs>
        <w:spacing w:before="156" w:after="0" w:line="240" w:lineRule="auto"/>
        <w:ind w:left="526" w:right="0" w:hanging="231"/>
        <w:jc w:val="left"/>
        <w:rPr>
          <w:sz w:val="18"/>
        </w:rPr>
      </w:pPr>
      <w:r>
        <w:rPr>
          <w:sz w:val="16"/>
        </w:rPr>
        <w:t xml:space="preserve">Za </w:t>
      </w:r>
      <w:r>
        <w:rPr>
          <w:sz w:val="16"/>
        </w:rPr>
        <w:t xml:space="preserve">standardních </w:t>
      </w:r>
      <w:r>
        <w:rPr>
          <w:sz w:val="16"/>
        </w:rPr>
        <w:t xml:space="preserve">testovacích </w:t>
      </w:r>
      <w:r>
        <w:rPr>
          <w:sz w:val="16"/>
        </w:rPr>
        <w:t xml:space="preserve">podmínek </w:t>
      </w:r>
      <w:r>
        <w:rPr>
          <w:sz w:val="16"/>
        </w:rPr>
        <w:t xml:space="preserve">by </w:t>
      </w:r>
      <w:r>
        <w:rPr>
          <w:sz w:val="16"/>
        </w:rPr>
        <w:t xml:space="preserve">chyba </w:t>
      </w:r>
      <w:r>
        <w:rPr>
          <w:sz w:val="16"/>
        </w:rPr>
        <w:t xml:space="preserve">injekce </w:t>
      </w:r>
      <w:r>
        <w:rPr>
          <w:sz w:val="16"/>
        </w:rPr>
        <w:t xml:space="preserve">pro </w:t>
      </w:r>
      <w:r>
        <w:rPr>
          <w:sz w:val="16"/>
        </w:rPr>
        <w:t xml:space="preserve">rychlosti </w:t>
      </w:r>
      <w:r>
        <w:rPr>
          <w:sz w:val="16"/>
        </w:rPr>
        <w:t xml:space="preserve">nižší </w:t>
      </w:r>
      <w:r>
        <w:rPr>
          <w:sz w:val="16"/>
        </w:rPr>
        <w:t>než</w:t>
      </w:r>
      <w:r>
        <w:rPr>
          <w:sz w:val="16"/>
        </w:rPr>
        <w:t xml:space="preserve"> 1 ml/h </w:t>
      </w:r>
      <w:r>
        <w:rPr>
          <w:sz w:val="16"/>
        </w:rPr>
        <w:t xml:space="preserve">měla </w:t>
      </w:r>
      <w:r>
        <w:rPr>
          <w:spacing w:val="-5"/>
          <w:sz w:val="16"/>
        </w:rPr>
        <w:t>být</w:t>
      </w:r>
    </w:p>
    <w:p>
      <w:pPr>
        <w:pStyle w:val="BodyText"/>
        <w:spacing w:before="33"/>
      </w:pPr>
      <w:r>
        <w:rPr>
          <w:spacing w:val="-2"/>
          <w:sz w:val="16"/>
        </w:rPr>
        <w:t>≤±5 %.</w:t>
      </w:r>
    </w:p>
    <w:p>
      <w:pPr>
        <w:pStyle w:val="BodyText"/>
        <w:spacing w:after="0"/>
        <w:sectPr>
          <w:pgSz w:w="8390" w:h="11910"/>
          <w:pgMar w:top="680" w:right="425" w:bottom="540" w:left="425" w:header="0" w:footer="342"/>
          <w:cols w:space="708"/>
        </w:sectPr>
      </w:pPr>
    </w:p>
    <w:p>
      <w:pPr>
        <w:pStyle w:val="BodyText"/>
        <w:spacing w:before="16" w:line="211" w:lineRule="auto"/>
      </w:pPr>
      <w:r>
        <w:rPr>
          <w:rFonts w:ascii="Noto Sans CJK JP" w:hAnsi="Noto Sans CJK JP"/>
          <w:sz w:val="16"/>
        </w:rPr>
        <w:t xml:space="preserve">② </w:t>
      </w:r>
      <w:r>
        <w:rPr>
          <w:sz w:val="16"/>
        </w:rPr>
        <w:t xml:space="preserve">Při dosažení prahové hodnoty alarmu ucpání </w:t>
      </w:r>
      <w:r>
        <w:rPr>
          <w:sz w:val="16"/>
        </w:rPr>
        <w:t xml:space="preserve">se </w:t>
      </w:r>
      <w:r>
        <w:rPr>
          <w:sz w:val="16"/>
        </w:rPr>
        <w:t xml:space="preserve">spustí </w:t>
      </w:r>
      <w:r>
        <w:rPr>
          <w:sz w:val="16"/>
        </w:rPr>
        <w:t xml:space="preserve">alarm </w:t>
      </w:r>
      <w:r>
        <w:rPr>
          <w:sz w:val="16"/>
        </w:rPr>
        <w:t xml:space="preserve">s vysokou </w:t>
      </w:r>
      <w:r>
        <w:rPr>
          <w:sz w:val="16"/>
        </w:rPr>
        <w:t xml:space="preserve">prioritou </w:t>
      </w:r>
      <w:r>
        <w:rPr>
          <w:sz w:val="16"/>
        </w:rPr>
        <w:t xml:space="preserve">„Ucpání“ </w:t>
      </w:r>
      <w:r>
        <w:rPr>
          <w:sz w:val="16"/>
        </w:rPr>
        <w:t xml:space="preserve">a </w:t>
      </w:r>
      <w:r>
        <w:rPr>
          <w:sz w:val="16"/>
        </w:rPr>
        <w:t xml:space="preserve">infuze </w:t>
      </w:r>
      <w:r>
        <w:rPr>
          <w:sz w:val="16"/>
        </w:rPr>
        <w:t>se zastaví</w:t>
      </w:r>
      <w:r>
        <w:rPr>
          <w:sz w:val="16"/>
        </w:rPr>
        <w:t>.</w:t>
      </w:r>
    </w:p>
    <w:p>
      <w:pPr>
        <w:pStyle w:val="BodyText"/>
        <w:spacing w:before="102" w:line="321" w:lineRule="auto"/>
        <w:ind w:right="1416"/>
      </w:pPr>
      <w:r>
        <w:rPr>
          <w:rFonts w:ascii="Noto Sans CJK JP" w:hAnsi="Noto Sans CJK JP"/>
          <w:sz w:val="16"/>
        </w:rPr>
        <w:t xml:space="preserve">③ </w:t>
      </w:r>
      <w:r>
        <w:rPr>
          <w:sz w:val="16"/>
        </w:rPr>
        <w:t xml:space="preserve">Alarmové </w:t>
      </w:r>
      <w:r>
        <w:rPr>
          <w:sz w:val="16"/>
        </w:rPr>
        <w:t xml:space="preserve">signály </w:t>
      </w:r>
      <w:r>
        <w:rPr>
          <w:sz w:val="16"/>
        </w:rPr>
        <w:t xml:space="preserve">zahrnují </w:t>
      </w:r>
      <w:r>
        <w:rPr>
          <w:sz w:val="16"/>
        </w:rPr>
        <w:t xml:space="preserve">alarm </w:t>
      </w:r>
      <w:r>
        <w:rPr>
          <w:sz w:val="16"/>
        </w:rPr>
        <w:t xml:space="preserve">dokončení </w:t>
      </w:r>
      <w:r>
        <w:rPr>
          <w:sz w:val="16"/>
        </w:rPr>
        <w:t xml:space="preserve">injekce </w:t>
      </w:r>
      <w:r>
        <w:rPr>
          <w:sz w:val="16"/>
        </w:rPr>
        <w:t xml:space="preserve">a </w:t>
      </w:r>
      <w:r>
        <w:rPr>
          <w:sz w:val="16"/>
        </w:rPr>
        <w:t xml:space="preserve">alarm </w:t>
      </w:r>
      <w:r>
        <w:rPr>
          <w:sz w:val="16"/>
        </w:rPr>
        <w:t>ucpání</w:t>
      </w:r>
      <w:r>
        <w:rPr>
          <w:sz w:val="16"/>
        </w:rPr>
        <w:t xml:space="preserve">. </w:t>
      </w:r>
      <w:r>
        <w:rPr>
          <w:sz w:val="16"/>
        </w:rPr>
        <w:t xml:space="preserve">Tabulka </w:t>
      </w:r>
      <w:r>
        <w:rPr>
          <w:sz w:val="16"/>
        </w:rPr>
        <w:t>kabelů</w:t>
      </w:r>
      <w:r>
        <w:rPr>
          <w:sz w:val="16"/>
        </w:rPr>
        <w:t>:</w:t>
      </w:r>
    </w:p>
    <w:p>
      <w:pPr>
        <w:pStyle w:val="BodyText"/>
        <w:spacing w:before="3"/>
        <w:ind w:left="0"/>
        <w:rPr>
          <w:sz w:val="15"/>
        </w:rPr>
      </w:pPr>
    </w:p>
    <w:tbl>
      <w:tblPr>
        <w:tblStyle w:val="TableNormal"/>
        <w:tblW w:w="0" w:type="auto"/>
        <w:jc w:val="left"/>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37"/>
        <w:gridCol w:w="1596"/>
        <w:gridCol w:w="1457"/>
        <w:gridCol w:w="1455"/>
        <w:gridCol w:w="1459"/>
      </w:tblGrid>
      <w:tr>
        <w:tblPrEx>
          <w:tblW w:w="0" w:type="auto"/>
          <w:tblInd w:w="470" w:type="dxa"/>
          <w:tblLayout w:type="fixed"/>
          <w:tblLook w:val="01E0"/>
        </w:tblPrEx>
        <w:trPr>
          <w:trHeight w:val="538"/>
        </w:trPr>
        <w:tc>
          <w:tcPr>
            <w:tcW w:w="637" w:type="dxa"/>
          </w:tcPr>
          <w:p>
            <w:pPr>
              <w:pStyle w:val="TableParagraph"/>
              <w:spacing w:before="172"/>
              <w:ind w:left="4" w:right="1"/>
              <w:jc w:val="center"/>
              <w:rPr>
                <w:sz w:val="18"/>
              </w:rPr>
            </w:pPr>
            <w:r>
              <w:rPr>
                <w:spacing w:val="-5"/>
                <w:sz w:val="16"/>
              </w:rPr>
              <w:t>S/N</w:t>
            </w:r>
          </w:p>
        </w:tc>
        <w:tc>
          <w:tcPr>
            <w:tcW w:w="1596" w:type="dxa"/>
          </w:tcPr>
          <w:p>
            <w:pPr>
              <w:pStyle w:val="TableParagraph"/>
              <w:spacing w:before="172"/>
              <w:ind w:left="7" w:right="7"/>
              <w:jc w:val="center"/>
              <w:rPr>
                <w:sz w:val="18"/>
              </w:rPr>
            </w:pPr>
            <w:r>
              <w:rPr>
                <w:spacing w:val="-4"/>
                <w:sz w:val="16"/>
              </w:rPr>
              <w:t>Název</w:t>
            </w:r>
          </w:p>
        </w:tc>
        <w:tc>
          <w:tcPr>
            <w:tcW w:w="1457" w:type="dxa"/>
          </w:tcPr>
          <w:p>
            <w:pPr>
              <w:pStyle w:val="TableParagraph"/>
              <w:spacing w:before="172"/>
              <w:ind w:left="5" w:right="3"/>
              <w:jc w:val="center"/>
              <w:rPr>
                <w:sz w:val="18"/>
              </w:rPr>
            </w:pPr>
            <w:r>
              <w:rPr>
                <w:sz w:val="16"/>
              </w:rPr>
              <w:t xml:space="preserve">Délka </w:t>
            </w:r>
            <w:r>
              <w:rPr>
                <w:sz w:val="16"/>
              </w:rPr>
              <w:t xml:space="preserve">kabelu </w:t>
            </w:r>
            <w:r>
              <w:rPr>
                <w:spacing w:val="-5"/>
                <w:sz w:val="16"/>
              </w:rPr>
              <w:t>(m)</w:t>
            </w:r>
          </w:p>
        </w:tc>
        <w:tc>
          <w:tcPr>
            <w:tcW w:w="1455" w:type="dxa"/>
          </w:tcPr>
          <w:p>
            <w:pPr>
              <w:pStyle w:val="TableParagraph"/>
              <w:spacing w:before="172"/>
              <w:ind w:left="4" w:right="1"/>
              <w:jc w:val="center"/>
              <w:rPr>
                <w:sz w:val="18"/>
              </w:rPr>
            </w:pPr>
            <w:r>
              <w:rPr>
                <w:sz w:val="16"/>
              </w:rPr>
              <w:t xml:space="preserve">Stíněný </w:t>
            </w:r>
            <w:r>
              <w:rPr>
                <w:sz w:val="16"/>
              </w:rPr>
              <w:t xml:space="preserve">nebo </w:t>
            </w:r>
            <w:r>
              <w:rPr>
                <w:spacing w:val="-5"/>
                <w:sz w:val="16"/>
              </w:rPr>
              <w:t>nestíněný</w:t>
            </w:r>
          </w:p>
        </w:tc>
        <w:tc>
          <w:tcPr>
            <w:tcW w:w="1459" w:type="dxa"/>
          </w:tcPr>
          <w:p>
            <w:pPr>
              <w:pStyle w:val="TableParagraph"/>
              <w:spacing w:before="172"/>
              <w:ind w:left="4" w:right="3"/>
              <w:jc w:val="center"/>
              <w:rPr>
                <w:sz w:val="18"/>
              </w:rPr>
            </w:pPr>
            <w:r>
              <w:rPr>
                <w:spacing w:val="-2"/>
                <w:sz w:val="16"/>
              </w:rPr>
              <w:t>Poznámky</w:t>
            </w:r>
          </w:p>
        </w:tc>
      </w:tr>
      <w:tr>
        <w:tblPrEx>
          <w:tblW w:w="0" w:type="auto"/>
          <w:tblInd w:w="470" w:type="dxa"/>
          <w:tblLayout w:type="fixed"/>
          <w:tblLook w:val="01E0"/>
        </w:tblPrEx>
        <w:trPr>
          <w:trHeight w:val="462"/>
        </w:trPr>
        <w:tc>
          <w:tcPr>
            <w:tcW w:w="637" w:type="dxa"/>
          </w:tcPr>
          <w:p>
            <w:pPr>
              <w:pStyle w:val="TableParagraph"/>
              <w:spacing w:before="134"/>
              <w:ind w:left="4"/>
              <w:jc w:val="center"/>
              <w:rPr>
                <w:sz w:val="18"/>
              </w:rPr>
            </w:pPr>
            <w:r>
              <w:rPr>
                <w:spacing w:val="-10"/>
                <w:sz w:val="16"/>
              </w:rPr>
              <w:t>1</w:t>
            </w:r>
          </w:p>
        </w:tc>
        <w:tc>
          <w:tcPr>
            <w:tcW w:w="1596" w:type="dxa"/>
          </w:tcPr>
          <w:p>
            <w:pPr>
              <w:pStyle w:val="TableParagraph"/>
              <w:spacing w:before="134"/>
              <w:ind w:left="7" w:right="4"/>
              <w:jc w:val="center"/>
              <w:rPr>
                <w:sz w:val="18"/>
              </w:rPr>
            </w:pPr>
            <w:r>
              <w:rPr>
                <w:sz w:val="16"/>
              </w:rPr>
              <w:t xml:space="preserve">Napájecí </w:t>
            </w:r>
            <w:r>
              <w:rPr>
                <w:spacing w:val="-2"/>
                <w:sz w:val="16"/>
              </w:rPr>
              <w:t>kabel</w:t>
            </w:r>
          </w:p>
        </w:tc>
        <w:tc>
          <w:tcPr>
            <w:tcW w:w="1457" w:type="dxa"/>
          </w:tcPr>
          <w:p>
            <w:pPr>
              <w:pStyle w:val="TableParagraph"/>
              <w:spacing w:before="134"/>
              <w:ind w:left="5"/>
              <w:jc w:val="center"/>
              <w:rPr>
                <w:sz w:val="18"/>
              </w:rPr>
            </w:pPr>
            <w:r>
              <w:rPr>
                <w:spacing w:val="-5"/>
                <w:sz w:val="16"/>
              </w:rPr>
              <w:t>2,5</w:t>
            </w:r>
          </w:p>
        </w:tc>
        <w:tc>
          <w:tcPr>
            <w:tcW w:w="1455" w:type="dxa"/>
          </w:tcPr>
          <w:p>
            <w:pPr>
              <w:pStyle w:val="TableParagraph"/>
              <w:spacing w:before="134"/>
              <w:ind w:left="4"/>
              <w:jc w:val="center"/>
              <w:rPr>
                <w:sz w:val="18"/>
              </w:rPr>
            </w:pPr>
            <w:r>
              <w:rPr>
                <w:spacing w:val="-5"/>
                <w:sz w:val="16"/>
              </w:rPr>
              <w:t>Ne</w:t>
            </w:r>
          </w:p>
        </w:tc>
        <w:tc>
          <w:tcPr>
            <w:tcW w:w="1459" w:type="dxa"/>
          </w:tcPr>
          <w:p>
            <w:pPr>
              <w:pStyle w:val="TableParagraph"/>
              <w:spacing w:before="134"/>
              <w:ind w:left="4"/>
              <w:jc w:val="center"/>
              <w:rPr>
                <w:sz w:val="18"/>
              </w:rPr>
            </w:pPr>
            <w:r>
              <w:rPr>
                <w:sz w:val="16"/>
              </w:rPr>
              <w:t xml:space="preserve">S </w:t>
            </w:r>
            <w:r>
              <w:rPr>
                <w:sz w:val="16"/>
              </w:rPr>
              <w:t xml:space="preserve">feritovým </w:t>
            </w:r>
            <w:r>
              <w:rPr>
                <w:spacing w:val="-4"/>
                <w:sz w:val="16"/>
              </w:rPr>
              <w:t>kroužkem</w:t>
            </w:r>
          </w:p>
        </w:tc>
      </w:tr>
      <w:tr>
        <w:tblPrEx>
          <w:tblW w:w="0" w:type="auto"/>
          <w:tblInd w:w="470" w:type="dxa"/>
          <w:tblLayout w:type="fixed"/>
          <w:tblLook w:val="01E0"/>
        </w:tblPrEx>
        <w:trPr>
          <w:trHeight w:val="642"/>
        </w:trPr>
        <w:tc>
          <w:tcPr>
            <w:tcW w:w="637" w:type="dxa"/>
          </w:tcPr>
          <w:p>
            <w:pPr>
              <w:pStyle w:val="TableParagraph"/>
              <w:spacing w:before="17"/>
              <w:rPr>
                <w:sz w:val="18"/>
              </w:rPr>
            </w:pPr>
          </w:p>
          <w:p>
            <w:pPr>
              <w:pStyle w:val="TableParagraph"/>
              <w:ind w:left="4"/>
              <w:jc w:val="center"/>
              <w:rPr>
                <w:sz w:val="18"/>
              </w:rPr>
            </w:pPr>
            <w:r>
              <w:rPr>
                <w:spacing w:val="-10"/>
                <w:sz w:val="16"/>
              </w:rPr>
              <w:t>2</w:t>
            </w:r>
          </w:p>
        </w:tc>
        <w:tc>
          <w:tcPr>
            <w:tcW w:w="1596" w:type="dxa"/>
          </w:tcPr>
          <w:p>
            <w:pPr>
              <w:pStyle w:val="TableParagraph"/>
              <w:spacing w:before="104"/>
              <w:ind w:left="7"/>
              <w:jc w:val="center"/>
              <w:rPr>
                <w:sz w:val="18"/>
              </w:rPr>
            </w:pPr>
            <w:r>
              <w:rPr>
                <w:spacing w:val="-2"/>
                <w:sz w:val="16"/>
              </w:rPr>
              <w:t>HK-400III</w:t>
            </w:r>
          </w:p>
          <w:p>
            <w:pPr>
              <w:pStyle w:val="TableParagraph"/>
              <w:spacing w:before="33"/>
              <w:ind w:left="7" w:right="4"/>
              <w:jc w:val="center"/>
              <w:rPr>
                <w:sz w:val="18"/>
              </w:rPr>
            </w:pPr>
            <w:r>
              <w:rPr>
                <w:sz w:val="16"/>
              </w:rPr>
              <w:t xml:space="preserve">Připojovací </w:t>
            </w:r>
            <w:r>
              <w:rPr>
                <w:spacing w:val="-2"/>
                <w:sz w:val="16"/>
              </w:rPr>
              <w:t>kabel</w:t>
            </w:r>
          </w:p>
        </w:tc>
        <w:tc>
          <w:tcPr>
            <w:tcW w:w="1457" w:type="dxa"/>
          </w:tcPr>
          <w:p>
            <w:pPr>
              <w:pStyle w:val="TableParagraph"/>
              <w:spacing w:before="17"/>
              <w:rPr>
                <w:sz w:val="18"/>
              </w:rPr>
            </w:pPr>
          </w:p>
          <w:p>
            <w:pPr>
              <w:pStyle w:val="TableParagraph"/>
              <w:ind w:left="5"/>
              <w:jc w:val="center"/>
              <w:rPr>
                <w:sz w:val="18"/>
              </w:rPr>
            </w:pPr>
            <w:r>
              <w:rPr>
                <w:spacing w:val="-5"/>
                <w:sz w:val="16"/>
              </w:rPr>
              <w:t>0,5</w:t>
            </w:r>
          </w:p>
        </w:tc>
        <w:tc>
          <w:tcPr>
            <w:tcW w:w="1455" w:type="dxa"/>
          </w:tcPr>
          <w:p>
            <w:pPr>
              <w:pStyle w:val="TableParagraph"/>
              <w:spacing w:before="17"/>
              <w:rPr>
                <w:sz w:val="18"/>
              </w:rPr>
            </w:pPr>
          </w:p>
          <w:p>
            <w:pPr>
              <w:pStyle w:val="TableParagraph"/>
              <w:ind w:left="4"/>
              <w:jc w:val="center"/>
              <w:rPr>
                <w:sz w:val="18"/>
              </w:rPr>
            </w:pPr>
            <w:r>
              <w:rPr>
                <w:spacing w:val="-5"/>
                <w:sz w:val="16"/>
              </w:rPr>
              <w:t>Ne</w:t>
            </w:r>
          </w:p>
        </w:tc>
        <w:tc>
          <w:tcPr>
            <w:tcW w:w="1459" w:type="dxa"/>
          </w:tcPr>
          <w:p>
            <w:pPr>
              <w:pStyle w:val="TableParagraph"/>
              <w:rPr>
                <w:sz w:val="18"/>
              </w:rPr>
            </w:pPr>
          </w:p>
        </w:tc>
      </w:tr>
    </w:tbl>
    <w:p>
      <w:pPr>
        <w:pStyle w:val="BodyText"/>
        <w:spacing w:before="131"/>
        <w:ind w:left="0"/>
      </w:pPr>
    </w:p>
    <w:p>
      <w:pPr>
        <w:pStyle w:val="BodyText"/>
        <w:spacing w:before="0"/>
      </w:pPr>
      <w:r>
        <w:rPr>
          <w:spacing w:val="-2"/>
          <w:sz w:val="16"/>
        </w:rPr>
        <w:t>Příloha:</w:t>
      </w:r>
    </w:p>
    <w:p>
      <w:pPr>
        <w:pStyle w:val="BodyText"/>
        <w:spacing w:before="0"/>
        <w:ind w:left="0"/>
        <w:rPr>
          <w:sz w:val="9"/>
        </w:rPr>
      </w:pPr>
    </w:p>
    <w:tbl>
      <w:tblPr>
        <w:tblStyle w:val="TableNormal"/>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3"/>
        <w:gridCol w:w="1300"/>
        <w:gridCol w:w="3866"/>
      </w:tblGrid>
      <w:tr>
        <w:tblPrEx>
          <w:tblW w:w="0" w:type="auto"/>
          <w:tblInd w:w="265" w:type="dxa"/>
          <w:tblLayout w:type="fixed"/>
          <w:tblLook w:val="01E0"/>
        </w:tblPrEx>
        <w:trPr>
          <w:trHeight w:val="470"/>
        </w:trPr>
        <w:tc>
          <w:tcPr>
            <w:tcW w:w="7019" w:type="dxa"/>
            <w:gridSpan w:val="3"/>
          </w:tcPr>
          <w:p>
            <w:pPr>
              <w:pStyle w:val="TableParagraph"/>
              <w:spacing w:before="138"/>
              <w:ind w:left="11"/>
              <w:jc w:val="center"/>
              <w:rPr>
                <w:sz w:val="18"/>
              </w:rPr>
            </w:pPr>
            <w:r>
              <w:rPr>
                <w:sz w:val="16"/>
              </w:rPr>
              <w:t xml:space="preserve">Pokyny </w:t>
            </w:r>
            <w:r>
              <w:rPr>
                <w:sz w:val="16"/>
              </w:rPr>
              <w:t xml:space="preserve">a </w:t>
            </w:r>
            <w:r>
              <w:rPr>
                <w:sz w:val="16"/>
              </w:rPr>
              <w:t xml:space="preserve">prohlášení </w:t>
            </w:r>
            <w:r>
              <w:rPr>
                <w:sz w:val="16"/>
              </w:rPr>
              <w:t xml:space="preserve">výrobce </w:t>
            </w:r>
            <w:r>
              <w:rPr>
                <w:sz w:val="16"/>
              </w:rPr>
              <w:t xml:space="preserve">– </w:t>
            </w:r>
            <w:r>
              <w:rPr>
                <w:sz w:val="16"/>
              </w:rPr>
              <w:t xml:space="preserve">elektromagnetické </w:t>
            </w:r>
            <w:r>
              <w:rPr>
                <w:spacing w:val="-2"/>
                <w:sz w:val="16"/>
              </w:rPr>
              <w:t>emise</w:t>
            </w:r>
          </w:p>
        </w:tc>
      </w:tr>
      <w:tr>
        <w:tblPrEx>
          <w:tblW w:w="0" w:type="auto"/>
          <w:tblInd w:w="265" w:type="dxa"/>
          <w:tblLayout w:type="fixed"/>
          <w:tblLook w:val="01E0"/>
        </w:tblPrEx>
        <w:trPr>
          <w:trHeight w:val="962"/>
        </w:trPr>
        <w:tc>
          <w:tcPr>
            <w:tcW w:w="7019" w:type="dxa"/>
            <w:gridSpan w:val="3"/>
          </w:tcPr>
          <w:p>
            <w:pPr>
              <w:pStyle w:val="TableParagraph"/>
              <w:spacing w:before="144" w:line="278" w:lineRule="auto"/>
              <w:ind w:left="106" w:right="95"/>
              <w:jc w:val="both"/>
              <w:rPr>
                <w:sz w:val="18"/>
              </w:rPr>
            </w:pPr>
            <w:r>
              <w:rPr>
                <w:sz w:val="16"/>
              </w:rPr>
              <w:t xml:space="preserve">Injekční pumpa HK-400III je určena k použití ve specifikovaném elektromagnetickém </w:t>
            </w:r>
            <w:r>
              <w:rPr>
                <w:sz w:val="16"/>
              </w:rPr>
              <w:t xml:space="preserve">prostředí. </w:t>
            </w:r>
            <w:r>
              <w:rPr>
                <w:sz w:val="16"/>
              </w:rPr>
              <w:t xml:space="preserve">Kupující nebo </w:t>
            </w:r>
            <w:r>
              <w:rPr>
                <w:sz w:val="16"/>
              </w:rPr>
              <w:t xml:space="preserve">uživatel </w:t>
            </w:r>
            <w:r>
              <w:rPr>
                <w:sz w:val="16"/>
              </w:rPr>
              <w:t xml:space="preserve">injekční pumpy HK-400III by měl </w:t>
            </w:r>
            <w:r>
              <w:rPr>
                <w:sz w:val="16"/>
              </w:rPr>
              <w:t xml:space="preserve">zajistit, aby </w:t>
            </w:r>
            <w:r>
              <w:rPr>
                <w:sz w:val="16"/>
              </w:rPr>
              <w:t>byla používána v takovém prostředí.</w:t>
            </w:r>
          </w:p>
        </w:tc>
      </w:tr>
      <w:tr>
        <w:tblPrEx>
          <w:tblW w:w="0" w:type="auto"/>
          <w:tblInd w:w="265" w:type="dxa"/>
          <w:tblLayout w:type="fixed"/>
          <w:tblLook w:val="01E0"/>
        </w:tblPrEx>
        <w:trPr>
          <w:trHeight w:val="531"/>
        </w:trPr>
        <w:tc>
          <w:tcPr>
            <w:tcW w:w="1853" w:type="dxa"/>
          </w:tcPr>
          <w:p>
            <w:pPr>
              <w:pStyle w:val="TableParagraph"/>
              <w:spacing w:before="168"/>
              <w:ind w:left="106"/>
              <w:rPr>
                <w:sz w:val="18"/>
              </w:rPr>
            </w:pPr>
            <w:r>
              <w:rPr>
                <w:spacing w:val="-4"/>
                <w:sz w:val="16"/>
              </w:rPr>
              <w:t xml:space="preserve">Zkouška </w:t>
            </w:r>
            <w:r>
              <w:rPr>
                <w:sz w:val="16"/>
              </w:rPr>
              <w:t>emisí</w:t>
            </w:r>
          </w:p>
        </w:tc>
        <w:tc>
          <w:tcPr>
            <w:tcW w:w="1300" w:type="dxa"/>
          </w:tcPr>
          <w:p>
            <w:pPr>
              <w:pStyle w:val="TableParagraph"/>
              <w:spacing w:before="168"/>
              <w:ind w:left="106"/>
              <w:rPr>
                <w:sz w:val="18"/>
              </w:rPr>
            </w:pPr>
            <w:r>
              <w:rPr>
                <w:spacing w:val="-2"/>
                <w:sz w:val="16"/>
              </w:rPr>
              <w:t>Shoda</w:t>
            </w:r>
          </w:p>
        </w:tc>
        <w:tc>
          <w:tcPr>
            <w:tcW w:w="3866" w:type="dxa"/>
          </w:tcPr>
          <w:p>
            <w:pPr>
              <w:pStyle w:val="TableParagraph"/>
              <w:spacing w:before="168"/>
              <w:ind w:left="107"/>
              <w:rPr>
                <w:sz w:val="18"/>
              </w:rPr>
            </w:pPr>
            <w:r>
              <w:rPr>
                <w:sz w:val="16"/>
              </w:rPr>
              <w:t xml:space="preserve">Elektromagnetické </w:t>
            </w:r>
            <w:r>
              <w:rPr>
                <w:sz w:val="16"/>
              </w:rPr>
              <w:t xml:space="preserve">prostředí </w:t>
            </w:r>
            <w:r>
              <w:rPr>
                <w:sz w:val="16"/>
              </w:rPr>
              <w:t xml:space="preserve">– </w:t>
            </w:r>
            <w:r>
              <w:rPr>
                <w:spacing w:val="-2"/>
                <w:sz w:val="16"/>
              </w:rPr>
              <w:t>pokyny</w:t>
            </w:r>
          </w:p>
        </w:tc>
      </w:tr>
      <w:tr>
        <w:tblPrEx>
          <w:tblW w:w="0" w:type="auto"/>
          <w:tblInd w:w="265" w:type="dxa"/>
          <w:tblLayout w:type="fixed"/>
          <w:tblLook w:val="01E0"/>
        </w:tblPrEx>
        <w:trPr>
          <w:trHeight w:val="297"/>
        </w:trPr>
        <w:tc>
          <w:tcPr>
            <w:tcW w:w="1853" w:type="dxa"/>
            <w:tcBorders>
              <w:bottom w:val="nil"/>
            </w:tcBorders>
          </w:tcPr>
          <w:p>
            <w:pPr>
              <w:pStyle w:val="TableParagraph"/>
              <w:rPr>
                <w:sz w:val="18"/>
              </w:rPr>
            </w:pPr>
          </w:p>
        </w:tc>
        <w:tc>
          <w:tcPr>
            <w:tcW w:w="1300" w:type="dxa"/>
            <w:tcBorders>
              <w:bottom w:val="nil"/>
            </w:tcBorders>
          </w:tcPr>
          <w:p>
            <w:pPr>
              <w:pStyle w:val="TableParagraph"/>
              <w:rPr>
                <w:sz w:val="18"/>
              </w:rPr>
            </w:pPr>
          </w:p>
        </w:tc>
        <w:tc>
          <w:tcPr>
            <w:tcW w:w="3866" w:type="dxa"/>
            <w:tcBorders>
              <w:bottom w:val="nil"/>
            </w:tcBorders>
          </w:tcPr>
          <w:p>
            <w:pPr>
              <w:pStyle w:val="TableParagraph"/>
              <w:spacing w:before="86" w:line="192" w:lineRule="exact"/>
              <w:ind w:left="107"/>
              <w:rPr>
                <w:sz w:val="18"/>
              </w:rPr>
            </w:pPr>
            <w:r>
              <w:rPr>
                <w:sz w:val="16"/>
              </w:rPr>
              <w:t xml:space="preserve">Injekční </w:t>
            </w:r>
            <w:r>
              <w:rPr>
                <w:sz w:val="16"/>
              </w:rPr>
              <w:t xml:space="preserve">pumpa </w:t>
            </w:r>
            <w:r>
              <w:rPr>
                <w:sz w:val="16"/>
              </w:rPr>
              <w:t xml:space="preserve">HK-400III </w:t>
            </w:r>
            <w:r>
              <w:rPr>
                <w:sz w:val="16"/>
              </w:rPr>
              <w:t xml:space="preserve">využívá </w:t>
            </w:r>
            <w:r>
              <w:rPr>
                <w:spacing w:val="-4"/>
                <w:sz w:val="16"/>
              </w:rPr>
              <w:t xml:space="preserve">pouze </w:t>
            </w:r>
            <w:r>
              <w:rPr>
                <w:sz w:val="16"/>
              </w:rPr>
              <w:t xml:space="preserve">vysokofrekvenční </w:t>
            </w:r>
            <w:r>
              <w:rPr>
                <w:sz w:val="16"/>
              </w:rPr>
              <w:t>energii.</w:t>
            </w:r>
          </w:p>
        </w:tc>
      </w:tr>
      <w:tr>
        <w:tblPrEx>
          <w:tblW w:w="0" w:type="auto"/>
          <w:tblInd w:w="265" w:type="dxa"/>
          <w:tblLayout w:type="fixed"/>
          <w:tblLook w:val="01E0"/>
        </w:tblPrEx>
        <w:trPr>
          <w:trHeight w:val="511"/>
        </w:trPr>
        <w:tc>
          <w:tcPr>
            <w:tcW w:w="1853" w:type="dxa"/>
            <w:tcBorders>
              <w:top w:val="nil"/>
              <w:bottom w:val="nil"/>
            </w:tcBorders>
          </w:tcPr>
          <w:p>
            <w:pPr>
              <w:pStyle w:val="TableParagraph"/>
              <w:spacing w:line="204" w:lineRule="exact"/>
              <w:ind w:left="106"/>
              <w:rPr>
                <w:sz w:val="18"/>
              </w:rPr>
            </w:pPr>
            <w:r>
              <w:rPr>
                <w:sz w:val="16"/>
              </w:rPr>
              <w:t>CISPR</w:t>
            </w:r>
            <w:r>
              <w:rPr>
                <w:spacing w:val="-5"/>
                <w:sz w:val="16"/>
              </w:rPr>
              <w:t xml:space="preserve"> 11</w:t>
            </w:r>
          </w:p>
          <w:p>
            <w:pPr>
              <w:pStyle w:val="TableParagraph"/>
              <w:spacing w:before="95" w:line="192" w:lineRule="exact"/>
              <w:ind w:left="106"/>
              <w:rPr>
                <w:sz w:val="18"/>
              </w:rPr>
            </w:pPr>
            <w:r>
              <w:rPr>
                <w:sz w:val="16"/>
              </w:rPr>
              <w:t xml:space="preserve">RF </w:t>
            </w:r>
            <w:r>
              <w:rPr>
                <w:spacing w:val="-2"/>
                <w:sz w:val="16"/>
              </w:rPr>
              <w:t>emise</w:t>
            </w:r>
          </w:p>
        </w:tc>
        <w:tc>
          <w:tcPr>
            <w:tcW w:w="1300" w:type="dxa"/>
            <w:tcBorders>
              <w:top w:val="nil"/>
              <w:bottom w:val="nil"/>
            </w:tcBorders>
          </w:tcPr>
          <w:p>
            <w:pPr>
              <w:pStyle w:val="TableParagraph"/>
              <w:spacing w:before="148"/>
              <w:ind w:left="106"/>
              <w:rPr>
                <w:sz w:val="18"/>
              </w:rPr>
            </w:pPr>
            <w:r>
              <w:rPr>
                <w:sz w:val="16"/>
              </w:rPr>
              <w:t xml:space="preserve">1 </w:t>
            </w:r>
            <w:r>
              <w:rPr>
                <w:spacing w:val="-2"/>
                <w:sz w:val="16"/>
              </w:rPr>
              <w:t>skupina</w:t>
            </w:r>
          </w:p>
        </w:tc>
        <w:tc>
          <w:tcPr>
            <w:tcW w:w="3866" w:type="dxa"/>
            <w:tcBorders>
              <w:top w:val="nil"/>
              <w:bottom w:val="nil"/>
            </w:tcBorders>
          </w:tcPr>
          <w:p>
            <w:pPr>
              <w:pStyle w:val="TableParagraph"/>
              <w:spacing w:before="4" w:line="240" w:lineRule="exact"/>
              <w:ind w:left="107"/>
              <w:rPr>
                <w:sz w:val="18"/>
              </w:rPr>
            </w:pPr>
            <w:r>
              <w:rPr>
                <w:sz w:val="16"/>
              </w:rPr>
              <w:t xml:space="preserve">pro </w:t>
            </w:r>
            <w:r>
              <w:rPr>
                <w:sz w:val="16"/>
              </w:rPr>
              <w:t xml:space="preserve">své </w:t>
            </w:r>
            <w:r>
              <w:rPr>
                <w:sz w:val="16"/>
              </w:rPr>
              <w:t xml:space="preserve">vnitřní </w:t>
            </w:r>
            <w:r>
              <w:rPr>
                <w:sz w:val="16"/>
              </w:rPr>
              <w:t xml:space="preserve">funkce. </w:t>
            </w:r>
            <w:r>
              <w:rPr>
                <w:sz w:val="16"/>
              </w:rPr>
              <w:t xml:space="preserve">Proto </w:t>
            </w:r>
            <w:r>
              <w:rPr>
                <w:sz w:val="16"/>
              </w:rPr>
              <w:t xml:space="preserve">jsou </w:t>
            </w:r>
            <w:r>
              <w:rPr>
                <w:sz w:val="16"/>
              </w:rPr>
              <w:t xml:space="preserve">její </w:t>
            </w:r>
            <w:r>
              <w:rPr>
                <w:sz w:val="16"/>
              </w:rPr>
              <w:t xml:space="preserve">vysokofrekvenční emise </w:t>
            </w:r>
            <w:r>
              <w:rPr>
                <w:sz w:val="16"/>
              </w:rPr>
              <w:t xml:space="preserve">velmi </w:t>
            </w:r>
            <w:r>
              <w:rPr>
                <w:sz w:val="16"/>
              </w:rPr>
              <w:t xml:space="preserve">nízké </w:t>
            </w:r>
            <w:r>
              <w:rPr>
                <w:sz w:val="16"/>
              </w:rPr>
              <w:t xml:space="preserve">a </w:t>
            </w:r>
            <w:r>
              <w:rPr>
                <w:sz w:val="16"/>
              </w:rPr>
              <w:t xml:space="preserve">je </w:t>
            </w:r>
            <w:r>
              <w:rPr>
                <w:sz w:val="16"/>
              </w:rPr>
              <w:t xml:space="preserve">méně </w:t>
            </w:r>
            <w:r>
              <w:rPr>
                <w:sz w:val="16"/>
              </w:rPr>
              <w:t xml:space="preserve">pravděpodobné, </w:t>
            </w:r>
            <w:r>
              <w:rPr>
                <w:spacing w:val="-4"/>
                <w:sz w:val="16"/>
              </w:rPr>
              <w:t>že způsobí</w:t>
            </w:r>
          </w:p>
        </w:tc>
      </w:tr>
      <w:tr>
        <w:tblPrEx>
          <w:tblW w:w="0" w:type="auto"/>
          <w:tblInd w:w="265" w:type="dxa"/>
          <w:tblLayout w:type="fixed"/>
          <w:tblLook w:val="01E0"/>
        </w:tblPrEx>
        <w:trPr>
          <w:trHeight w:val="275"/>
        </w:trPr>
        <w:tc>
          <w:tcPr>
            <w:tcW w:w="1853" w:type="dxa"/>
            <w:tcBorders>
              <w:top w:val="nil"/>
            </w:tcBorders>
          </w:tcPr>
          <w:p>
            <w:pPr>
              <w:pStyle w:val="TableParagraph"/>
              <w:rPr>
                <w:sz w:val="18"/>
              </w:rPr>
            </w:pPr>
          </w:p>
        </w:tc>
        <w:tc>
          <w:tcPr>
            <w:tcW w:w="1300" w:type="dxa"/>
            <w:tcBorders>
              <w:top w:val="nil"/>
            </w:tcBorders>
          </w:tcPr>
          <w:p>
            <w:pPr>
              <w:pStyle w:val="TableParagraph"/>
              <w:rPr>
                <w:sz w:val="18"/>
              </w:rPr>
            </w:pPr>
          </w:p>
        </w:tc>
        <w:tc>
          <w:tcPr>
            <w:tcW w:w="3866" w:type="dxa"/>
            <w:tcBorders>
              <w:top w:val="nil"/>
            </w:tcBorders>
          </w:tcPr>
          <w:p>
            <w:pPr>
              <w:pStyle w:val="TableParagraph"/>
              <w:spacing w:line="204" w:lineRule="exact"/>
              <w:ind w:left="107"/>
              <w:rPr>
                <w:sz w:val="18"/>
              </w:rPr>
            </w:pPr>
            <w:r>
              <w:rPr>
                <w:sz w:val="16"/>
              </w:rPr>
              <w:t xml:space="preserve">rušení </w:t>
            </w:r>
            <w:r>
              <w:rPr>
                <w:sz w:val="16"/>
              </w:rPr>
              <w:t xml:space="preserve">blízkých </w:t>
            </w:r>
            <w:r>
              <w:rPr>
                <w:sz w:val="16"/>
              </w:rPr>
              <w:t xml:space="preserve">elektronických </w:t>
            </w:r>
            <w:r>
              <w:rPr>
                <w:spacing w:val="-2"/>
                <w:sz w:val="16"/>
              </w:rPr>
              <w:t>zařízení.</w:t>
            </w:r>
          </w:p>
        </w:tc>
      </w:tr>
      <w:tr>
        <w:tblPrEx>
          <w:tblW w:w="0" w:type="auto"/>
          <w:tblInd w:w="265" w:type="dxa"/>
          <w:tblLayout w:type="fixed"/>
          <w:tblLook w:val="01E0"/>
        </w:tblPrEx>
        <w:trPr>
          <w:trHeight w:val="666"/>
        </w:trPr>
        <w:tc>
          <w:tcPr>
            <w:tcW w:w="1853" w:type="dxa"/>
          </w:tcPr>
          <w:p>
            <w:pPr>
              <w:pStyle w:val="TableParagraph"/>
              <w:spacing w:before="86"/>
              <w:ind w:left="106"/>
              <w:rPr>
                <w:sz w:val="18"/>
              </w:rPr>
            </w:pPr>
            <w:r>
              <w:rPr>
                <w:sz w:val="16"/>
              </w:rPr>
              <w:t>GBCISPR</w:t>
            </w:r>
            <w:r>
              <w:rPr>
                <w:spacing w:val="-5"/>
                <w:sz w:val="16"/>
              </w:rPr>
              <w:t xml:space="preserve"> 11</w:t>
            </w:r>
          </w:p>
          <w:p>
            <w:pPr>
              <w:pStyle w:val="TableParagraph"/>
              <w:spacing w:before="95"/>
              <w:ind w:left="106"/>
              <w:rPr>
                <w:sz w:val="18"/>
              </w:rPr>
            </w:pPr>
            <w:r>
              <w:rPr>
                <w:sz w:val="16"/>
              </w:rPr>
              <w:t xml:space="preserve">RF </w:t>
            </w:r>
            <w:r>
              <w:rPr>
                <w:spacing w:val="-2"/>
                <w:sz w:val="16"/>
              </w:rPr>
              <w:t>emise</w:t>
            </w:r>
          </w:p>
        </w:tc>
        <w:tc>
          <w:tcPr>
            <w:tcW w:w="1300" w:type="dxa"/>
          </w:tcPr>
          <w:p>
            <w:pPr>
              <w:pStyle w:val="TableParagraph"/>
              <w:spacing w:before="30"/>
              <w:rPr>
                <w:sz w:val="18"/>
              </w:rPr>
            </w:pPr>
          </w:p>
          <w:p>
            <w:pPr>
              <w:pStyle w:val="TableParagraph"/>
              <w:ind w:left="106"/>
              <w:rPr>
                <w:sz w:val="18"/>
              </w:rPr>
            </w:pPr>
            <w:r>
              <w:rPr>
                <w:sz w:val="16"/>
              </w:rPr>
              <w:t xml:space="preserve">Třída </w:t>
            </w:r>
            <w:r>
              <w:rPr>
                <w:spacing w:val="-10"/>
                <w:sz w:val="16"/>
              </w:rPr>
              <w:t>A</w:t>
            </w:r>
          </w:p>
        </w:tc>
        <w:tc>
          <w:tcPr>
            <w:tcW w:w="3866" w:type="dxa"/>
            <w:vMerge w:val="restart"/>
          </w:tcPr>
          <w:p>
            <w:pPr>
              <w:pStyle w:val="TableParagraph"/>
              <w:rPr>
                <w:sz w:val="18"/>
              </w:rPr>
            </w:pPr>
          </w:p>
          <w:p>
            <w:pPr>
              <w:pStyle w:val="TableParagraph"/>
              <w:rPr>
                <w:sz w:val="18"/>
              </w:rPr>
            </w:pPr>
          </w:p>
          <w:p>
            <w:pPr>
              <w:pStyle w:val="TableParagraph"/>
              <w:rPr>
                <w:sz w:val="18"/>
              </w:rPr>
            </w:pPr>
          </w:p>
          <w:p>
            <w:pPr>
              <w:pStyle w:val="TableParagraph"/>
              <w:spacing w:before="19"/>
              <w:rPr>
                <w:sz w:val="18"/>
              </w:rPr>
            </w:pPr>
          </w:p>
          <w:p>
            <w:pPr>
              <w:pStyle w:val="TableParagraph"/>
              <w:spacing w:line="278" w:lineRule="auto"/>
              <w:ind w:left="107" w:right="95"/>
              <w:jc w:val="both"/>
              <w:rPr>
                <w:sz w:val="18"/>
              </w:rPr>
            </w:pPr>
            <w:r>
              <w:rPr>
                <w:sz w:val="16"/>
              </w:rPr>
              <w:t xml:space="preserve">Injekční </w:t>
            </w:r>
            <w:r>
              <w:rPr>
                <w:sz w:val="16"/>
              </w:rPr>
              <w:t xml:space="preserve">pumpa </w:t>
            </w:r>
            <w:r>
              <w:rPr>
                <w:sz w:val="16"/>
              </w:rPr>
              <w:t xml:space="preserve">HK-400III </w:t>
            </w:r>
            <w:r>
              <w:rPr>
                <w:sz w:val="16"/>
              </w:rPr>
              <w:t xml:space="preserve">je </w:t>
            </w:r>
            <w:r>
              <w:rPr>
                <w:sz w:val="16"/>
              </w:rPr>
              <w:t xml:space="preserve">vhodná </w:t>
            </w:r>
            <w:r>
              <w:rPr>
                <w:sz w:val="16"/>
              </w:rPr>
              <w:t xml:space="preserve">pro použití </w:t>
            </w:r>
            <w:r>
              <w:rPr>
                <w:sz w:val="16"/>
              </w:rPr>
              <w:t xml:space="preserve">ve všech zařízeních, včetně domácností </w:t>
            </w:r>
            <w:r>
              <w:rPr>
                <w:sz w:val="16"/>
              </w:rPr>
              <w:t xml:space="preserve">a </w:t>
            </w:r>
            <w:r>
              <w:rPr>
                <w:sz w:val="16"/>
              </w:rPr>
              <w:t xml:space="preserve">zařízení </w:t>
            </w:r>
            <w:r>
              <w:rPr>
                <w:sz w:val="16"/>
              </w:rPr>
              <w:t xml:space="preserve">přímo </w:t>
            </w:r>
            <w:r>
              <w:rPr>
                <w:sz w:val="16"/>
              </w:rPr>
              <w:t xml:space="preserve">připojených </w:t>
            </w:r>
            <w:r>
              <w:rPr>
                <w:sz w:val="16"/>
              </w:rPr>
              <w:t xml:space="preserve">k </w:t>
            </w:r>
            <w:r>
              <w:rPr>
                <w:sz w:val="16"/>
              </w:rPr>
              <w:t xml:space="preserve">veřejné </w:t>
            </w:r>
            <w:r>
              <w:rPr>
                <w:sz w:val="16"/>
              </w:rPr>
              <w:t xml:space="preserve">síti </w:t>
            </w:r>
            <w:r>
              <w:rPr>
                <w:spacing w:val="-5"/>
                <w:sz w:val="16"/>
              </w:rPr>
              <w:t>nízkého</w:t>
            </w:r>
          </w:p>
          <w:p>
            <w:pPr>
              <w:pStyle w:val="TableParagraph"/>
              <w:spacing w:line="278" w:lineRule="auto"/>
              <w:ind w:left="107" w:right="95"/>
              <w:jc w:val="both"/>
              <w:rPr>
                <w:sz w:val="18"/>
              </w:rPr>
            </w:pPr>
            <w:r>
              <w:rPr>
                <w:sz w:val="16"/>
              </w:rPr>
              <w:t xml:space="preserve">napájecí síť, která </w:t>
            </w:r>
            <w:r>
              <w:rPr>
                <w:sz w:val="16"/>
              </w:rPr>
              <w:t>zásobuje budovy používané pro domácí účely.</w:t>
            </w:r>
          </w:p>
        </w:tc>
      </w:tr>
      <w:tr>
        <w:tblPrEx>
          <w:tblW w:w="0" w:type="auto"/>
          <w:tblInd w:w="265" w:type="dxa"/>
          <w:tblLayout w:type="fixed"/>
          <w:tblLook w:val="01E0"/>
        </w:tblPrEx>
        <w:trPr>
          <w:trHeight w:val="697"/>
        </w:trPr>
        <w:tc>
          <w:tcPr>
            <w:tcW w:w="1853" w:type="dxa"/>
          </w:tcPr>
          <w:p>
            <w:pPr>
              <w:pStyle w:val="TableParagraph"/>
              <w:spacing w:before="101"/>
              <w:ind w:left="106"/>
              <w:rPr>
                <w:sz w:val="18"/>
              </w:rPr>
            </w:pPr>
            <w:r>
              <w:rPr>
                <w:sz w:val="16"/>
              </w:rPr>
              <w:t>IEC</w:t>
            </w:r>
            <w:r>
              <w:rPr>
                <w:spacing w:val="-10"/>
                <w:sz w:val="16"/>
              </w:rPr>
              <w:t xml:space="preserve"> 61000-3-2</w:t>
            </w:r>
          </w:p>
          <w:p>
            <w:pPr>
              <w:pStyle w:val="TableParagraph"/>
              <w:spacing w:before="96"/>
              <w:ind w:left="106"/>
              <w:rPr>
                <w:sz w:val="18"/>
              </w:rPr>
            </w:pPr>
            <w:r>
              <w:rPr>
                <w:sz w:val="16"/>
              </w:rPr>
              <w:t xml:space="preserve">Harmonické </w:t>
            </w:r>
            <w:r>
              <w:rPr>
                <w:spacing w:val="-2"/>
                <w:sz w:val="16"/>
              </w:rPr>
              <w:t>emise</w:t>
            </w:r>
          </w:p>
        </w:tc>
        <w:tc>
          <w:tcPr>
            <w:tcW w:w="1300" w:type="dxa"/>
          </w:tcPr>
          <w:p>
            <w:pPr>
              <w:pStyle w:val="TableParagraph"/>
              <w:spacing w:before="45"/>
              <w:rPr>
                <w:sz w:val="18"/>
              </w:rPr>
            </w:pPr>
          </w:p>
          <w:p>
            <w:pPr>
              <w:pStyle w:val="TableParagraph"/>
              <w:ind w:left="106"/>
              <w:rPr>
                <w:sz w:val="18"/>
              </w:rPr>
            </w:pPr>
            <w:r>
              <w:rPr>
                <w:sz w:val="16"/>
              </w:rPr>
              <w:t xml:space="preserve">Třída </w:t>
            </w:r>
            <w:r>
              <w:rPr>
                <w:spacing w:val="-10"/>
                <w:sz w:val="16"/>
              </w:rPr>
              <w:t>A</w:t>
            </w:r>
          </w:p>
        </w:tc>
        <w:tc>
          <w:tcPr>
            <w:tcW w:w="3866" w:type="dxa"/>
            <w:vMerge/>
            <w:tcBorders>
              <w:top w:val="nil"/>
            </w:tcBorders>
          </w:tcPr>
          <w:p>
            <w:pPr>
              <w:rPr>
                <w:sz w:val="2"/>
                <w:szCs w:val="2"/>
              </w:rPr>
            </w:pPr>
          </w:p>
        </w:tc>
      </w:tr>
      <w:tr>
        <w:tblPrEx>
          <w:tblW w:w="0" w:type="auto"/>
          <w:tblInd w:w="265" w:type="dxa"/>
          <w:tblLayout w:type="fixed"/>
          <w:tblLook w:val="01E0"/>
        </w:tblPrEx>
        <w:trPr>
          <w:trHeight w:val="347"/>
        </w:trPr>
        <w:tc>
          <w:tcPr>
            <w:tcW w:w="1853" w:type="dxa"/>
            <w:tcBorders>
              <w:bottom w:val="nil"/>
            </w:tcBorders>
          </w:tcPr>
          <w:p>
            <w:pPr>
              <w:pStyle w:val="TableParagraph"/>
              <w:spacing w:before="94"/>
              <w:ind w:left="106"/>
              <w:rPr>
                <w:sz w:val="18"/>
              </w:rPr>
            </w:pPr>
            <w:r>
              <w:rPr>
                <w:sz w:val="16"/>
              </w:rPr>
              <w:t>EC</w:t>
            </w:r>
            <w:r>
              <w:rPr>
                <w:spacing w:val="-10"/>
                <w:sz w:val="16"/>
              </w:rPr>
              <w:t xml:space="preserve"> 61000-3-3</w:t>
            </w:r>
          </w:p>
        </w:tc>
        <w:tc>
          <w:tcPr>
            <w:tcW w:w="1300" w:type="dxa"/>
            <w:tcBorders>
              <w:bottom w:val="nil"/>
            </w:tcBorders>
          </w:tcPr>
          <w:p>
            <w:pPr>
              <w:pStyle w:val="TableParagraph"/>
              <w:rPr>
                <w:sz w:val="18"/>
              </w:rPr>
            </w:pPr>
          </w:p>
        </w:tc>
        <w:tc>
          <w:tcPr>
            <w:tcW w:w="3866" w:type="dxa"/>
            <w:vMerge/>
            <w:tcBorders>
              <w:top w:val="nil"/>
            </w:tcBorders>
          </w:tcPr>
          <w:p>
            <w:pPr>
              <w:rPr>
                <w:sz w:val="2"/>
                <w:szCs w:val="2"/>
              </w:rPr>
            </w:pPr>
          </w:p>
        </w:tc>
      </w:tr>
      <w:tr>
        <w:tblPrEx>
          <w:tblW w:w="0" w:type="auto"/>
          <w:tblInd w:w="265" w:type="dxa"/>
          <w:tblLayout w:type="fixed"/>
          <w:tblLook w:val="01E0"/>
        </w:tblPrEx>
        <w:trPr>
          <w:trHeight w:val="805"/>
        </w:trPr>
        <w:tc>
          <w:tcPr>
            <w:tcW w:w="1853" w:type="dxa"/>
            <w:tcBorders>
              <w:top w:val="nil"/>
            </w:tcBorders>
          </w:tcPr>
          <w:p>
            <w:pPr>
              <w:pStyle w:val="TableParagraph"/>
              <w:spacing w:before="39" w:line="278" w:lineRule="auto"/>
              <w:ind w:left="106"/>
              <w:rPr>
                <w:sz w:val="18"/>
              </w:rPr>
            </w:pPr>
            <w:r>
              <w:rPr>
                <w:spacing w:val="-2"/>
                <w:sz w:val="16"/>
              </w:rPr>
              <w:t>Kolísání napětí/emise blikání</w:t>
            </w:r>
          </w:p>
        </w:tc>
        <w:tc>
          <w:tcPr>
            <w:tcW w:w="1300" w:type="dxa"/>
            <w:tcBorders>
              <w:top w:val="nil"/>
            </w:tcBorders>
          </w:tcPr>
          <w:p>
            <w:pPr>
              <w:pStyle w:val="TableParagraph"/>
              <w:spacing w:before="127"/>
              <w:ind w:left="106"/>
              <w:rPr>
                <w:sz w:val="18"/>
              </w:rPr>
            </w:pPr>
            <w:r>
              <w:rPr>
                <w:spacing w:val="-2"/>
                <w:sz w:val="16"/>
              </w:rPr>
              <w:t>Vyhovuje</w:t>
            </w:r>
          </w:p>
        </w:tc>
        <w:tc>
          <w:tcPr>
            <w:tcW w:w="3866" w:type="dxa"/>
            <w:vMerge/>
            <w:tcBorders>
              <w:top w:val="nil"/>
            </w:tcBorders>
          </w:tcPr>
          <w:p>
            <w:pPr>
              <w:rPr>
                <w:sz w:val="2"/>
                <w:szCs w:val="2"/>
              </w:rPr>
            </w:pPr>
          </w:p>
        </w:tc>
      </w:tr>
    </w:tbl>
    <w:p>
      <w:pPr>
        <w:spacing w:after="0"/>
        <w:rPr>
          <w:sz w:val="2"/>
          <w:szCs w:val="2"/>
        </w:rPr>
        <w:sectPr>
          <w:pgSz w:w="8390" w:h="11910"/>
          <w:pgMar w:top="660" w:right="425" w:bottom="1507" w:left="425" w:header="0" w:footer="342"/>
          <w:cols w:space="708"/>
        </w:sectPr>
      </w:pPr>
    </w:p>
    <w:tbl>
      <w:tblPr>
        <w:tblStyle w:val="TableNormal"/>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6"/>
        <w:gridCol w:w="1627"/>
        <w:gridCol w:w="1730"/>
        <w:gridCol w:w="2288"/>
      </w:tblGrid>
      <w:tr>
        <w:tblPrEx>
          <w:tblW w:w="0" w:type="auto"/>
          <w:tblInd w:w="239" w:type="dxa"/>
          <w:tblLayout w:type="fixed"/>
          <w:tblLook w:val="01E0"/>
        </w:tblPrEx>
        <w:trPr>
          <w:trHeight w:val="437"/>
        </w:trPr>
        <w:tc>
          <w:tcPr>
            <w:tcW w:w="7071" w:type="dxa"/>
            <w:gridSpan w:val="4"/>
          </w:tcPr>
          <w:p>
            <w:pPr>
              <w:pStyle w:val="TableParagraph"/>
              <w:spacing w:before="118"/>
              <w:ind w:left="108"/>
              <w:rPr>
                <w:sz w:val="18"/>
              </w:rPr>
            </w:pPr>
            <w:r>
              <w:rPr>
                <w:sz w:val="16"/>
              </w:rPr>
              <w:t xml:space="preserve">Pokyny </w:t>
            </w:r>
            <w:r>
              <w:rPr>
                <w:sz w:val="16"/>
              </w:rPr>
              <w:t xml:space="preserve">a </w:t>
            </w:r>
            <w:r>
              <w:rPr>
                <w:sz w:val="16"/>
              </w:rPr>
              <w:t xml:space="preserve">prohlášení </w:t>
            </w:r>
            <w:r>
              <w:rPr>
                <w:sz w:val="16"/>
              </w:rPr>
              <w:t xml:space="preserve">výrobce </w:t>
            </w:r>
            <w:r>
              <w:rPr>
                <w:sz w:val="16"/>
              </w:rPr>
              <w:t xml:space="preserve">– </w:t>
            </w:r>
            <w:r>
              <w:rPr>
                <w:sz w:val="16"/>
              </w:rPr>
              <w:t xml:space="preserve">Elektromagnetická </w:t>
            </w:r>
            <w:r>
              <w:rPr>
                <w:spacing w:val="-2"/>
                <w:sz w:val="16"/>
              </w:rPr>
              <w:t>odolnost</w:t>
            </w:r>
          </w:p>
        </w:tc>
      </w:tr>
      <w:tr>
        <w:tblPrEx>
          <w:tblW w:w="0" w:type="auto"/>
          <w:tblInd w:w="239" w:type="dxa"/>
          <w:tblLayout w:type="fixed"/>
          <w:tblLook w:val="01E0"/>
        </w:tblPrEx>
        <w:trPr>
          <w:trHeight w:val="813"/>
        </w:trPr>
        <w:tc>
          <w:tcPr>
            <w:tcW w:w="7071" w:type="dxa"/>
            <w:gridSpan w:val="4"/>
          </w:tcPr>
          <w:p>
            <w:pPr>
              <w:pStyle w:val="TableParagraph"/>
              <w:spacing w:before="77" w:line="266" w:lineRule="auto"/>
              <w:ind w:left="108" w:right="89"/>
              <w:rPr>
                <w:sz w:val="18"/>
              </w:rPr>
            </w:pPr>
            <w:r>
              <w:rPr>
                <w:sz w:val="16"/>
              </w:rPr>
              <w:t xml:space="preserve">Injekční </w:t>
            </w:r>
            <w:r>
              <w:rPr>
                <w:sz w:val="16"/>
              </w:rPr>
              <w:t xml:space="preserve">pumpa </w:t>
            </w:r>
            <w:r>
              <w:rPr>
                <w:sz w:val="16"/>
              </w:rPr>
              <w:t xml:space="preserve">HK-400III </w:t>
            </w:r>
            <w:r>
              <w:rPr>
                <w:sz w:val="16"/>
              </w:rPr>
              <w:t xml:space="preserve">je </w:t>
            </w:r>
            <w:r>
              <w:rPr>
                <w:sz w:val="16"/>
              </w:rPr>
              <w:t xml:space="preserve">určena </w:t>
            </w:r>
            <w:r>
              <w:rPr>
                <w:sz w:val="16"/>
              </w:rPr>
              <w:t xml:space="preserve">k </w:t>
            </w:r>
            <w:r>
              <w:rPr>
                <w:sz w:val="16"/>
              </w:rPr>
              <w:t xml:space="preserve">použití </w:t>
            </w:r>
            <w:r>
              <w:rPr>
                <w:sz w:val="16"/>
              </w:rPr>
              <w:t xml:space="preserve">ve </w:t>
            </w:r>
            <w:r>
              <w:rPr>
                <w:sz w:val="16"/>
              </w:rPr>
              <w:t xml:space="preserve">specifikovaném </w:t>
            </w:r>
            <w:r>
              <w:rPr>
                <w:sz w:val="16"/>
              </w:rPr>
              <w:t xml:space="preserve">elektromagnetickém </w:t>
            </w:r>
            <w:r>
              <w:rPr>
                <w:sz w:val="16"/>
              </w:rPr>
              <w:t>prostředí. Kupující nebo uživatel injekční pumpy HK-400III by se měl ujistit, že je používána v takovém prostředí.</w:t>
            </w:r>
          </w:p>
        </w:tc>
      </w:tr>
      <w:tr>
        <w:tblPrEx>
          <w:tblW w:w="0" w:type="auto"/>
          <w:tblInd w:w="239" w:type="dxa"/>
          <w:tblLayout w:type="fixed"/>
          <w:tblLook w:val="01E0"/>
        </w:tblPrEx>
        <w:trPr>
          <w:trHeight w:val="583"/>
        </w:trPr>
        <w:tc>
          <w:tcPr>
            <w:tcW w:w="1426" w:type="dxa"/>
          </w:tcPr>
          <w:p>
            <w:pPr>
              <w:pStyle w:val="TableParagraph"/>
              <w:spacing w:before="193"/>
              <w:ind w:left="108"/>
              <w:rPr>
                <w:sz w:val="18"/>
              </w:rPr>
            </w:pPr>
            <w:r>
              <w:rPr>
                <w:spacing w:val="-4"/>
                <w:sz w:val="16"/>
              </w:rPr>
              <w:t xml:space="preserve">Zkouška </w:t>
            </w:r>
            <w:r>
              <w:rPr>
                <w:sz w:val="16"/>
              </w:rPr>
              <w:t>odolnosti</w:t>
            </w:r>
          </w:p>
        </w:tc>
        <w:tc>
          <w:tcPr>
            <w:tcW w:w="1627" w:type="dxa"/>
          </w:tcPr>
          <w:p>
            <w:pPr>
              <w:pStyle w:val="TableParagraph"/>
              <w:spacing w:before="78"/>
              <w:ind w:left="108"/>
              <w:rPr>
                <w:sz w:val="18"/>
              </w:rPr>
            </w:pPr>
            <w:r>
              <w:rPr>
                <w:spacing w:val="-4"/>
                <w:sz w:val="16"/>
              </w:rPr>
              <w:t xml:space="preserve">Zkouška </w:t>
            </w:r>
            <w:r>
              <w:rPr>
                <w:sz w:val="16"/>
              </w:rPr>
              <w:t>podle IEC</w:t>
            </w:r>
            <w:r>
              <w:rPr>
                <w:sz w:val="16"/>
              </w:rPr>
              <w:t xml:space="preserve"> 60601</w:t>
            </w:r>
          </w:p>
          <w:p>
            <w:pPr>
              <w:pStyle w:val="TableParagraph"/>
              <w:spacing w:before="24"/>
              <w:ind w:left="108"/>
              <w:rPr>
                <w:sz w:val="18"/>
              </w:rPr>
            </w:pPr>
            <w:r>
              <w:rPr>
                <w:spacing w:val="-2"/>
                <w:sz w:val="16"/>
              </w:rPr>
              <w:t>Úroveň</w:t>
            </w:r>
          </w:p>
        </w:tc>
        <w:tc>
          <w:tcPr>
            <w:tcW w:w="1730" w:type="dxa"/>
          </w:tcPr>
          <w:p>
            <w:pPr>
              <w:pStyle w:val="TableParagraph"/>
              <w:spacing w:before="193"/>
              <w:ind w:left="108"/>
              <w:rPr>
                <w:sz w:val="18"/>
              </w:rPr>
            </w:pPr>
            <w:r>
              <w:rPr>
                <w:spacing w:val="-2"/>
                <w:sz w:val="16"/>
              </w:rPr>
              <w:t xml:space="preserve">Úroveň </w:t>
            </w:r>
            <w:r>
              <w:rPr>
                <w:sz w:val="16"/>
              </w:rPr>
              <w:t>shody</w:t>
            </w:r>
          </w:p>
        </w:tc>
        <w:tc>
          <w:tcPr>
            <w:tcW w:w="2288" w:type="dxa"/>
          </w:tcPr>
          <w:p>
            <w:pPr>
              <w:pStyle w:val="TableParagraph"/>
              <w:spacing w:before="78" w:line="266" w:lineRule="auto"/>
              <w:ind w:left="106" w:right="102"/>
              <w:rPr>
                <w:sz w:val="18"/>
              </w:rPr>
            </w:pPr>
            <w:r>
              <w:rPr>
                <w:spacing w:val="-2"/>
                <w:sz w:val="16"/>
              </w:rPr>
              <w:t xml:space="preserve">Elektromagnetické </w:t>
            </w:r>
            <w:r>
              <w:rPr>
                <w:sz w:val="16"/>
              </w:rPr>
              <w:t xml:space="preserve">prostředí </w:t>
            </w:r>
            <w:r>
              <w:rPr>
                <w:sz w:val="16"/>
              </w:rPr>
              <w:t xml:space="preserve">– </w:t>
            </w:r>
            <w:r>
              <w:rPr>
                <w:sz w:val="16"/>
              </w:rPr>
              <w:t>pokyny</w:t>
            </w:r>
          </w:p>
        </w:tc>
      </w:tr>
      <w:tr>
        <w:tblPrEx>
          <w:tblW w:w="0" w:type="auto"/>
          <w:tblInd w:w="239" w:type="dxa"/>
          <w:tblLayout w:type="fixed"/>
          <w:tblLook w:val="01E0"/>
        </w:tblPrEx>
        <w:trPr>
          <w:trHeight w:val="1503"/>
        </w:trPr>
        <w:tc>
          <w:tcPr>
            <w:tcW w:w="1426" w:type="dxa"/>
          </w:tcPr>
          <w:p>
            <w:pPr>
              <w:pStyle w:val="TableParagraph"/>
              <w:spacing w:before="69"/>
              <w:rPr>
                <w:sz w:val="18"/>
              </w:rPr>
            </w:pPr>
          </w:p>
          <w:p>
            <w:pPr>
              <w:pStyle w:val="TableParagraph"/>
              <w:spacing w:line="266" w:lineRule="auto"/>
              <w:ind w:left="108" w:right="265"/>
              <w:rPr>
                <w:sz w:val="18"/>
              </w:rPr>
            </w:pPr>
            <w:r>
              <w:rPr>
                <w:spacing w:val="-2"/>
                <w:sz w:val="16"/>
              </w:rPr>
              <w:t>Elektrostatický výboj (ESD)</w:t>
            </w:r>
          </w:p>
          <w:p>
            <w:pPr>
              <w:pStyle w:val="TableParagraph"/>
              <w:spacing w:before="65"/>
              <w:ind w:left="108"/>
              <w:rPr>
                <w:sz w:val="18"/>
              </w:rPr>
            </w:pPr>
            <w:r>
              <w:rPr>
                <w:sz w:val="16"/>
              </w:rPr>
              <w:t>IEC</w:t>
            </w:r>
            <w:r>
              <w:rPr>
                <w:spacing w:val="-10"/>
                <w:sz w:val="16"/>
              </w:rPr>
              <w:t xml:space="preserve"> 61000-4-2</w:t>
            </w:r>
          </w:p>
        </w:tc>
        <w:tc>
          <w:tcPr>
            <w:tcW w:w="1627" w:type="dxa"/>
          </w:tcPr>
          <w:p>
            <w:pPr>
              <w:pStyle w:val="TableParagraph"/>
              <w:spacing w:before="69"/>
              <w:rPr>
                <w:sz w:val="18"/>
              </w:rPr>
            </w:pPr>
          </w:p>
          <w:p>
            <w:pPr>
              <w:pStyle w:val="TableParagraph"/>
              <w:spacing w:line="266" w:lineRule="auto"/>
              <w:ind w:left="108"/>
              <w:rPr>
                <w:sz w:val="18"/>
              </w:rPr>
            </w:pPr>
            <w:r>
              <w:rPr>
                <w:sz w:val="16"/>
              </w:rPr>
              <w:t xml:space="preserve">±8 </w:t>
            </w:r>
            <w:r>
              <w:rPr>
                <w:sz w:val="16"/>
              </w:rPr>
              <w:t xml:space="preserve">kV </w:t>
            </w:r>
            <w:r>
              <w:rPr>
                <w:sz w:val="16"/>
              </w:rPr>
              <w:t xml:space="preserve">kontaktní </w:t>
            </w:r>
            <w:r>
              <w:rPr>
                <w:spacing w:val="-2"/>
                <w:sz w:val="16"/>
              </w:rPr>
              <w:t>výboj</w:t>
            </w:r>
          </w:p>
          <w:p>
            <w:pPr>
              <w:pStyle w:val="TableParagraph"/>
              <w:spacing w:before="64" w:line="266" w:lineRule="auto"/>
              <w:ind w:left="108" w:right="353"/>
              <w:rPr>
                <w:sz w:val="18"/>
              </w:rPr>
            </w:pPr>
            <w:r>
              <w:rPr>
                <w:sz w:val="16"/>
              </w:rPr>
              <w:t xml:space="preserve">±15 </w:t>
            </w:r>
            <w:r>
              <w:rPr>
                <w:sz w:val="16"/>
              </w:rPr>
              <w:t xml:space="preserve">kV </w:t>
            </w:r>
            <w:r>
              <w:rPr>
                <w:spacing w:val="-2"/>
                <w:sz w:val="16"/>
              </w:rPr>
              <w:t>výboj</w:t>
            </w:r>
            <w:r>
              <w:rPr>
                <w:sz w:val="16"/>
              </w:rPr>
              <w:t xml:space="preserve"> ve vzduchu</w:t>
            </w:r>
          </w:p>
        </w:tc>
        <w:tc>
          <w:tcPr>
            <w:tcW w:w="1730" w:type="dxa"/>
          </w:tcPr>
          <w:p>
            <w:pPr>
              <w:pStyle w:val="TableParagraph"/>
              <w:spacing w:before="184"/>
              <w:rPr>
                <w:sz w:val="18"/>
              </w:rPr>
            </w:pPr>
          </w:p>
          <w:p>
            <w:pPr>
              <w:pStyle w:val="TableParagraph"/>
              <w:spacing w:line="266" w:lineRule="auto"/>
              <w:ind w:left="108"/>
              <w:rPr>
                <w:sz w:val="18"/>
              </w:rPr>
            </w:pPr>
            <w:r>
              <w:rPr>
                <w:sz w:val="16"/>
              </w:rPr>
              <w:t xml:space="preserve">±8 </w:t>
            </w:r>
            <w:r>
              <w:rPr>
                <w:sz w:val="16"/>
              </w:rPr>
              <w:t xml:space="preserve">kV </w:t>
            </w:r>
            <w:r>
              <w:rPr>
                <w:sz w:val="16"/>
              </w:rPr>
              <w:t xml:space="preserve">kontaktní </w:t>
            </w:r>
            <w:r>
              <w:rPr>
                <w:spacing w:val="-2"/>
                <w:sz w:val="16"/>
              </w:rPr>
              <w:t>výboj</w:t>
            </w:r>
          </w:p>
          <w:p>
            <w:pPr>
              <w:pStyle w:val="TableParagraph"/>
              <w:spacing w:before="64"/>
              <w:ind w:left="108"/>
              <w:rPr>
                <w:sz w:val="18"/>
              </w:rPr>
            </w:pPr>
            <w:r>
              <w:rPr>
                <w:sz w:val="16"/>
              </w:rPr>
              <w:t xml:space="preserve">±15 </w:t>
            </w:r>
            <w:r>
              <w:rPr>
                <w:sz w:val="16"/>
              </w:rPr>
              <w:t xml:space="preserve">kV </w:t>
            </w:r>
            <w:r>
              <w:rPr>
                <w:spacing w:val="-2"/>
                <w:sz w:val="16"/>
              </w:rPr>
              <w:t xml:space="preserve">výboj </w:t>
            </w:r>
            <w:r>
              <w:rPr>
                <w:sz w:val="16"/>
              </w:rPr>
              <w:t>ve vzduchu</w:t>
            </w:r>
          </w:p>
        </w:tc>
        <w:tc>
          <w:tcPr>
            <w:tcW w:w="2288" w:type="dxa"/>
          </w:tcPr>
          <w:p>
            <w:pPr>
              <w:pStyle w:val="TableParagraph"/>
              <w:spacing w:before="77" w:line="266" w:lineRule="auto"/>
              <w:ind w:left="106" w:right="102"/>
              <w:rPr>
                <w:sz w:val="18"/>
              </w:rPr>
            </w:pPr>
            <w:r>
              <w:rPr>
                <w:sz w:val="16"/>
              </w:rPr>
              <w:t xml:space="preserve">Podlaha </w:t>
            </w:r>
            <w:r>
              <w:rPr>
                <w:sz w:val="16"/>
              </w:rPr>
              <w:t xml:space="preserve">by měla </w:t>
            </w:r>
            <w:r>
              <w:rPr>
                <w:sz w:val="16"/>
              </w:rPr>
              <w:t xml:space="preserve">být </w:t>
            </w:r>
            <w:r>
              <w:rPr>
                <w:sz w:val="16"/>
              </w:rPr>
              <w:t>ze dřeva, betonu nebo keramické dlažby. Pokud je podlaha pokryta syntetickým materiálem, relativní vlhkost by měla být alespoň 30 %.</w:t>
            </w:r>
          </w:p>
        </w:tc>
      </w:tr>
      <w:tr>
        <w:tblPrEx>
          <w:tblW w:w="0" w:type="auto"/>
          <w:tblInd w:w="239" w:type="dxa"/>
          <w:tblLayout w:type="fixed"/>
          <w:tblLook w:val="01E0"/>
        </w:tblPrEx>
        <w:trPr>
          <w:trHeight w:val="1106"/>
        </w:trPr>
        <w:tc>
          <w:tcPr>
            <w:tcW w:w="1426" w:type="dxa"/>
          </w:tcPr>
          <w:p>
            <w:pPr>
              <w:pStyle w:val="TableParagraph"/>
              <w:spacing w:before="193" w:line="266" w:lineRule="auto"/>
              <w:ind w:left="108" w:right="265"/>
              <w:rPr>
                <w:sz w:val="18"/>
              </w:rPr>
            </w:pPr>
            <w:r>
              <w:rPr>
                <w:sz w:val="16"/>
              </w:rPr>
              <w:t xml:space="preserve">Elektrický </w:t>
            </w:r>
            <w:r>
              <w:rPr>
                <w:sz w:val="16"/>
              </w:rPr>
              <w:t xml:space="preserve">rychlý </w:t>
            </w:r>
            <w:r>
              <w:rPr>
                <w:spacing w:val="-2"/>
                <w:sz w:val="16"/>
              </w:rPr>
              <w:t>přechodový jev</w:t>
            </w:r>
          </w:p>
          <w:p>
            <w:pPr>
              <w:pStyle w:val="TableParagraph"/>
              <w:spacing w:before="63"/>
              <w:ind w:left="108"/>
              <w:rPr>
                <w:sz w:val="18"/>
              </w:rPr>
            </w:pPr>
            <w:r>
              <w:rPr>
                <w:sz w:val="16"/>
              </w:rPr>
              <w:t>IEC</w:t>
            </w:r>
            <w:r>
              <w:rPr>
                <w:spacing w:val="-10"/>
                <w:sz w:val="16"/>
              </w:rPr>
              <w:t xml:space="preserve"> 61000-4-4</w:t>
            </w:r>
          </w:p>
        </w:tc>
        <w:tc>
          <w:tcPr>
            <w:tcW w:w="1627" w:type="dxa"/>
          </w:tcPr>
          <w:p>
            <w:pPr>
              <w:pStyle w:val="TableParagraph"/>
              <w:spacing w:before="77" w:line="266" w:lineRule="auto"/>
              <w:ind w:left="108" w:right="353"/>
              <w:rPr>
                <w:sz w:val="18"/>
              </w:rPr>
            </w:pPr>
            <w:r>
              <w:rPr>
                <w:sz w:val="16"/>
              </w:rPr>
              <w:t xml:space="preserve">±2 kV </w:t>
            </w:r>
            <w:r>
              <w:rPr>
                <w:sz w:val="16"/>
              </w:rPr>
              <w:t xml:space="preserve">pro </w:t>
            </w:r>
            <w:r>
              <w:rPr>
                <w:sz w:val="16"/>
              </w:rPr>
              <w:t xml:space="preserve">napájecí </w:t>
            </w:r>
            <w:r>
              <w:rPr>
                <w:sz w:val="16"/>
              </w:rPr>
              <w:t>vedení</w:t>
            </w:r>
          </w:p>
          <w:p>
            <w:pPr>
              <w:pStyle w:val="TableParagraph"/>
              <w:spacing w:before="64" w:line="264" w:lineRule="auto"/>
              <w:ind w:left="108" w:right="236"/>
              <w:rPr>
                <w:sz w:val="18"/>
              </w:rPr>
            </w:pPr>
            <w:r>
              <w:rPr>
                <w:sz w:val="16"/>
              </w:rPr>
              <w:t xml:space="preserve">±1 kV </w:t>
            </w:r>
            <w:r>
              <w:rPr>
                <w:sz w:val="16"/>
              </w:rPr>
              <w:t xml:space="preserve">pro vstupní/výstupní </w:t>
            </w:r>
            <w:r>
              <w:rPr>
                <w:sz w:val="16"/>
              </w:rPr>
              <w:t>vedení</w:t>
            </w:r>
          </w:p>
        </w:tc>
        <w:tc>
          <w:tcPr>
            <w:tcW w:w="1730" w:type="dxa"/>
          </w:tcPr>
          <w:p>
            <w:pPr>
              <w:pStyle w:val="TableParagraph"/>
              <w:spacing w:before="132"/>
              <w:rPr>
                <w:sz w:val="18"/>
              </w:rPr>
            </w:pPr>
          </w:p>
          <w:p>
            <w:pPr>
              <w:pStyle w:val="TableParagraph"/>
              <w:spacing w:line="266" w:lineRule="auto"/>
              <w:ind w:left="108" w:right="456"/>
              <w:rPr>
                <w:sz w:val="18"/>
              </w:rPr>
            </w:pPr>
            <w:r>
              <w:rPr>
                <w:sz w:val="16"/>
              </w:rPr>
              <w:t xml:space="preserve">±2 kV </w:t>
            </w:r>
            <w:r>
              <w:rPr>
                <w:sz w:val="16"/>
              </w:rPr>
              <w:t xml:space="preserve">pro </w:t>
            </w:r>
            <w:r>
              <w:rPr>
                <w:sz w:val="16"/>
              </w:rPr>
              <w:t xml:space="preserve">napájecí </w:t>
            </w:r>
            <w:r>
              <w:rPr>
                <w:sz w:val="16"/>
              </w:rPr>
              <w:t>vedení</w:t>
            </w:r>
          </w:p>
        </w:tc>
        <w:tc>
          <w:tcPr>
            <w:tcW w:w="2288" w:type="dxa"/>
          </w:tcPr>
          <w:p>
            <w:pPr>
              <w:pStyle w:val="TableParagraph"/>
              <w:spacing w:before="109" w:line="266" w:lineRule="auto"/>
              <w:ind w:left="106" w:right="102"/>
              <w:rPr>
                <w:sz w:val="18"/>
              </w:rPr>
            </w:pPr>
            <w:r>
              <w:rPr>
                <w:sz w:val="16"/>
              </w:rPr>
              <w:t xml:space="preserve">Síťové </w:t>
            </w:r>
            <w:r>
              <w:rPr>
                <w:sz w:val="16"/>
              </w:rPr>
              <w:t xml:space="preserve">napájení </w:t>
            </w:r>
            <w:r>
              <w:rPr>
                <w:sz w:val="16"/>
              </w:rPr>
              <w:t xml:space="preserve">musí </w:t>
            </w:r>
            <w:r>
              <w:rPr>
                <w:sz w:val="16"/>
              </w:rPr>
              <w:t xml:space="preserve">mít typickou kvalitu pro použití v komerčním nebo nemocničním </w:t>
            </w:r>
            <w:r>
              <w:rPr>
                <w:spacing w:val="-2"/>
                <w:sz w:val="16"/>
              </w:rPr>
              <w:t>prostředí.</w:t>
            </w:r>
          </w:p>
        </w:tc>
      </w:tr>
      <w:tr>
        <w:tblPrEx>
          <w:tblW w:w="0" w:type="auto"/>
          <w:tblInd w:w="239" w:type="dxa"/>
          <w:tblLayout w:type="fixed"/>
          <w:tblLook w:val="01E0"/>
        </w:tblPrEx>
        <w:trPr>
          <w:trHeight w:val="1106"/>
        </w:trPr>
        <w:tc>
          <w:tcPr>
            <w:tcW w:w="1426" w:type="dxa"/>
          </w:tcPr>
          <w:p>
            <w:pPr>
              <w:pStyle w:val="TableParagraph"/>
              <w:spacing w:before="101"/>
              <w:rPr>
                <w:sz w:val="18"/>
              </w:rPr>
            </w:pPr>
          </w:p>
          <w:p>
            <w:pPr>
              <w:pStyle w:val="TableParagraph"/>
              <w:ind w:left="108"/>
              <w:rPr>
                <w:sz w:val="18"/>
              </w:rPr>
            </w:pPr>
            <w:r>
              <w:rPr>
                <w:spacing w:val="-2"/>
                <w:sz w:val="16"/>
              </w:rPr>
              <w:t>Přepětí</w:t>
            </w:r>
          </w:p>
          <w:p>
            <w:pPr>
              <w:pStyle w:val="TableParagraph"/>
              <w:spacing w:before="86"/>
              <w:ind w:left="108"/>
              <w:rPr>
                <w:sz w:val="18"/>
              </w:rPr>
            </w:pPr>
            <w:r>
              <w:rPr>
                <w:sz w:val="16"/>
              </w:rPr>
              <w:t>lEC</w:t>
            </w:r>
            <w:r>
              <w:rPr>
                <w:spacing w:val="-10"/>
                <w:sz w:val="16"/>
              </w:rPr>
              <w:t xml:space="preserve"> 61000-4-5</w:t>
            </w:r>
          </w:p>
        </w:tc>
        <w:tc>
          <w:tcPr>
            <w:tcW w:w="1627" w:type="dxa"/>
          </w:tcPr>
          <w:p>
            <w:pPr>
              <w:pStyle w:val="TableParagraph"/>
              <w:spacing w:before="77" w:line="266" w:lineRule="auto"/>
              <w:ind w:left="108" w:right="213"/>
              <w:rPr>
                <w:sz w:val="18"/>
              </w:rPr>
            </w:pPr>
            <w:r>
              <w:rPr>
                <w:sz w:val="16"/>
              </w:rPr>
              <w:t xml:space="preserve">±1 </w:t>
            </w:r>
            <w:r>
              <w:rPr>
                <w:sz w:val="16"/>
              </w:rPr>
              <w:t xml:space="preserve">kV </w:t>
            </w:r>
            <w:r>
              <w:rPr>
                <w:sz w:val="16"/>
              </w:rPr>
              <w:t xml:space="preserve">diferenciální </w:t>
            </w:r>
            <w:r>
              <w:rPr>
                <w:sz w:val="16"/>
              </w:rPr>
              <w:t>napětí</w:t>
            </w:r>
          </w:p>
          <w:p>
            <w:pPr>
              <w:pStyle w:val="TableParagraph"/>
              <w:spacing w:before="64" w:line="264" w:lineRule="auto"/>
              <w:ind w:left="108" w:right="353"/>
              <w:rPr>
                <w:sz w:val="18"/>
              </w:rPr>
            </w:pPr>
            <w:r>
              <w:rPr>
                <w:sz w:val="16"/>
              </w:rPr>
              <w:t xml:space="preserve">±2 </w:t>
            </w:r>
            <w:r>
              <w:rPr>
                <w:sz w:val="16"/>
              </w:rPr>
              <w:t xml:space="preserve">kV </w:t>
            </w:r>
            <w:r>
              <w:rPr>
                <w:sz w:val="16"/>
              </w:rPr>
              <w:t xml:space="preserve">společné </w:t>
            </w:r>
            <w:r>
              <w:rPr>
                <w:sz w:val="16"/>
              </w:rPr>
              <w:t>napětí</w:t>
            </w:r>
          </w:p>
        </w:tc>
        <w:tc>
          <w:tcPr>
            <w:tcW w:w="1730" w:type="dxa"/>
          </w:tcPr>
          <w:p>
            <w:pPr>
              <w:pStyle w:val="TableParagraph"/>
              <w:spacing w:before="77" w:line="266" w:lineRule="auto"/>
              <w:ind w:left="108" w:right="20"/>
              <w:rPr>
                <w:sz w:val="18"/>
              </w:rPr>
            </w:pPr>
            <w:r>
              <w:rPr>
                <w:spacing w:val="-2"/>
                <w:sz w:val="16"/>
              </w:rPr>
              <w:t xml:space="preserve">±1 </w:t>
            </w:r>
            <w:r>
              <w:rPr>
                <w:sz w:val="16"/>
              </w:rPr>
              <w:t>k</w:t>
            </w:r>
            <w:r>
              <w:rPr>
                <w:spacing w:val="-2"/>
                <w:sz w:val="16"/>
              </w:rPr>
              <w:t xml:space="preserve">V diferenciální </w:t>
            </w:r>
            <w:r>
              <w:rPr>
                <w:sz w:val="16"/>
              </w:rPr>
              <w:t>napětí</w:t>
            </w:r>
          </w:p>
          <w:p>
            <w:pPr>
              <w:pStyle w:val="TableParagraph"/>
              <w:spacing w:before="64" w:line="264" w:lineRule="auto"/>
              <w:ind w:left="108" w:right="456"/>
              <w:rPr>
                <w:sz w:val="18"/>
              </w:rPr>
            </w:pPr>
            <w:r>
              <w:rPr>
                <w:sz w:val="16"/>
              </w:rPr>
              <w:t xml:space="preserve">±2 </w:t>
            </w:r>
            <w:r>
              <w:rPr>
                <w:sz w:val="16"/>
              </w:rPr>
              <w:t xml:space="preserve">kV </w:t>
            </w:r>
            <w:r>
              <w:rPr>
                <w:sz w:val="16"/>
              </w:rPr>
              <w:t xml:space="preserve">společné </w:t>
            </w:r>
            <w:r>
              <w:rPr>
                <w:sz w:val="16"/>
              </w:rPr>
              <w:t>napětí</w:t>
            </w:r>
          </w:p>
        </w:tc>
        <w:tc>
          <w:tcPr>
            <w:tcW w:w="2288" w:type="dxa"/>
          </w:tcPr>
          <w:p>
            <w:pPr>
              <w:pStyle w:val="TableParagraph"/>
              <w:spacing w:before="109" w:line="266" w:lineRule="auto"/>
              <w:ind w:left="106" w:right="102"/>
              <w:rPr>
                <w:sz w:val="18"/>
              </w:rPr>
            </w:pPr>
            <w:r>
              <w:rPr>
                <w:sz w:val="16"/>
              </w:rPr>
              <w:t xml:space="preserve">Síťové </w:t>
            </w:r>
            <w:r>
              <w:rPr>
                <w:sz w:val="16"/>
              </w:rPr>
              <w:t xml:space="preserve">napájení </w:t>
            </w:r>
            <w:r>
              <w:rPr>
                <w:sz w:val="16"/>
              </w:rPr>
              <w:t xml:space="preserve">musí </w:t>
            </w:r>
            <w:r>
              <w:rPr>
                <w:sz w:val="16"/>
              </w:rPr>
              <w:t xml:space="preserve">mít typickou kvalitu pro použití v komerčním nebo nemocničním </w:t>
            </w:r>
            <w:r>
              <w:rPr>
                <w:spacing w:val="-2"/>
                <w:sz w:val="16"/>
              </w:rPr>
              <w:t>prostředí.</w:t>
            </w:r>
          </w:p>
        </w:tc>
      </w:tr>
      <w:tr>
        <w:tblPrEx>
          <w:tblW w:w="0" w:type="auto"/>
          <w:tblInd w:w="239" w:type="dxa"/>
          <w:tblLayout w:type="fixed"/>
          <w:tblLook w:val="01E0"/>
        </w:tblPrEx>
        <w:trPr>
          <w:trHeight w:val="2884"/>
        </w:trPr>
        <w:tc>
          <w:tcPr>
            <w:tcW w:w="1426" w:type="dxa"/>
          </w:tcPr>
          <w:p>
            <w:pPr>
              <w:pStyle w:val="TableParagraph"/>
              <w:spacing w:before="185"/>
              <w:rPr>
                <w:sz w:val="18"/>
              </w:rPr>
            </w:pPr>
          </w:p>
          <w:p>
            <w:pPr>
              <w:pStyle w:val="TableParagraph"/>
              <w:spacing w:line="266" w:lineRule="auto"/>
              <w:ind w:left="108" w:right="106"/>
              <w:rPr>
                <w:sz w:val="18"/>
              </w:rPr>
            </w:pPr>
            <w:r>
              <w:rPr>
                <w:sz w:val="16"/>
              </w:rPr>
              <w:t xml:space="preserve">Pokles napětí, </w:t>
            </w:r>
            <w:r>
              <w:rPr>
                <w:spacing w:val="-2"/>
                <w:sz w:val="16"/>
              </w:rPr>
              <w:t xml:space="preserve">krátké </w:t>
            </w:r>
            <w:r>
              <w:rPr>
                <w:sz w:val="16"/>
              </w:rPr>
              <w:t xml:space="preserve">přerušení </w:t>
            </w:r>
            <w:r>
              <w:rPr>
                <w:sz w:val="16"/>
              </w:rPr>
              <w:t xml:space="preserve">a </w:t>
            </w:r>
            <w:r>
              <w:rPr>
                <w:sz w:val="16"/>
              </w:rPr>
              <w:t xml:space="preserve">kolísání </w:t>
            </w:r>
            <w:r>
              <w:rPr>
                <w:spacing w:val="-2"/>
                <w:sz w:val="16"/>
              </w:rPr>
              <w:t xml:space="preserve">napětí </w:t>
            </w:r>
            <w:r>
              <w:rPr>
                <w:sz w:val="16"/>
              </w:rPr>
              <w:t>na vstupních vedeních napájecího zdroje</w:t>
            </w:r>
          </w:p>
          <w:p>
            <w:pPr>
              <w:pStyle w:val="TableParagraph"/>
              <w:spacing w:before="64"/>
              <w:ind w:left="108"/>
              <w:rPr>
                <w:sz w:val="18"/>
              </w:rPr>
            </w:pPr>
            <w:r>
              <w:rPr>
                <w:spacing w:val="-5"/>
                <w:sz w:val="16"/>
              </w:rPr>
              <w:t>IEC</w:t>
            </w:r>
          </w:p>
          <w:p>
            <w:pPr>
              <w:pStyle w:val="TableParagraph"/>
              <w:spacing w:before="21"/>
              <w:ind w:left="108"/>
              <w:rPr>
                <w:sz w:val="18"/>
              </w:rPr>
            </w:pPr>
            <w:r>
              <w:rPr>
                <w:spacing w:val="-5"/>
                <w:sz w:val="16"/>
              </w:rPr>
              <w:t>61000-4-11.</w:t>
            </w:r>
          </w:p>
        </w:tc>
        <w:tc>
          <w:tcPr>
            <w:tcW w:w="1627" w:type="dxa"/>
          </w:tcPr>
          <w:p>
            <w:pPr>
              <w:pStyle w:val="TableParagraph"/>
              <w:spacing w:before="99"/>
              <w:ind w:left="108"/>
              <w:jc w:val="both"/>
              <w:rPr>
                <w:sz w:val="18"/>
              </w:rPr>
            </w:pPr>
            <w:r>
              <w:rPr>
                <w:sz w:val="16"/>
              </w:rPr>
              <w:t xml:space="preserve">&lt;5 % </w:t>
            </w:r>
            <w:r>
              <w:rPr>
                <w:sz w:val="16"/>
              </w:rPr>
              <w:t xml:space="preserve">UT, </w:t>
            </w:r>
            <w:r>
              <w:rPr>
                <w:spacing w:val="-2"/>
                <w:sz w:val="16"/>
              </w:rPr>
              <w:t>trvající</w:t>
            </w:r>
          </w:p>
          <w:p>
            <w:pPr>
              <w:pStyle w:val="TableParagraph"/>
              <w:spacing w:before="23"/>
              <w:ind w:left="108"/>
              <w:jc w:val="both"/>
              <w:rPr>
                <w:sz w:val="18"/>
              </w:rPr>
            </w:pPr>
            <w:r>
              <w:rPr>
                <w:sz w:val="16"/>
              </w:rPr>
              <w:t xml:space="preserve">0,5 </w:t>
            </w:r>
            <w:r>
              <w:rPr>
                <w:sz w:val="16"/>
              </w:rPr>
              <w:t xml:space="preserve">cyklu </w:t>
            </w:r>
            <w:r>
              <w:rPr>
                <w:spacing w:val="-5"/>
                <w:sz w:val="16"/>
              </w:rPr>
              <w:t>(při</w:t>
            </w:r>
          </w:p>
          <w:p>
            <w:pPr>
              <w:pStyle w:val="TableParagraph"/>
              <w:spacing w:before="24"/>
              <w:ind w:left="108"/>
              <w:jc w:val="both"/>
              <w:rPr>
                <w:sz w:val="18"/>
              </w:rPr>
            </w:pPr>
            <w:r>
              <w:rPr>
                <w:sz w:val="16"/>
              </w:rPr>
              <w:t xml:space="preserve">UT, </w:t>
            </w:r>
            <w:r>
              <w:rPr>
                <w:sz w:val="16"/>
              </w:rPr>
              <w:t xml:space="preserve">&gt;95 % </w:t>
            </w:r>
            <w:r>
              <w:rPr>
                <w:spacing w:val="-4"/>
                <w:sz w:val="16"/>
              </w:rPr>
              <w:t>pokles)</w:t>
            </w:r>
          </w:p>
          <w:p>
            <w:pPr>
              <w:pStyle w:val="TableParagraph"/>
              <w:spacing w:before="86" w:line="266" w:lineRule="auto"/>
              <w:ind w:left="108" w:right="175"/>
              <w:jc w:val="both"/>
              <w:rPr>
                <w:sz w:val="18"/>
              </w:rPr>
            </w:pPr>
            <w:r>
              <w:rPr>
                <w:sz w:val="16"/>
              </w:rPr>
              <w:t xml:space="preserve">40 % </w:t>
            </w:r>
            <w:r>
              <w:rPr>
                <w:sz w:val="16"/>
              </w:rPr>
              <w:t xml:space="preserve">UT, </w:t>
            </w:r>
            <w:r>
              <w:rPr>
                <w:sz w:val="16"/>
              </w:rPr>
              <w:t>trvající</w:t>
            </w:r>
            <w:r>
              <w:rPr>
                <w:sz w:val="16"/>
              </w:rPr>
              <w:t xml:space="preserve"> 5 cyklů </w:t>
            </w:r>
            <w:r>
              <w:rPr>
                <w:sz w:val="16"/>
              </w:rPr>
              <w:t xml:space="preserve">(při </w:t>
            </w:r>
            <w:r>
              <w:rPr>
                <w:sz w:val="16"/>
              </w:rPr>
              <w:t xml:space="preserve">UT, </w:t>
            </w:r>
            <w:r>
              <w:rPr>
                <w:spacing w:val="-4"/>
                <w:sz w:val="16"/>
              </w:rPr>
              <w:t>pokles o</w:t>
            </w:r>
            <w:r>
              <w:rPr>
                <w:sz w:val="16"/>
              </w:rPr>
              <w:t xml:space="preserve"> 60 %</w:t>
            </w:r>
            <w:r>
              <w:rPr>
                <w:spacing w:val="-4"/>
                <w:sz w:val="16"/>
              </w:rPr>
              <w:t>)</w:t>
            </w:r>
          </w:p>
          <w:p>
            <w:pPr>
              <w:pStyle w:val="TableParagraph"/>
              <w:spacing w:before="62" w:line="266" w:lineRule="auto"/>
              <w:ind w:left="108" w:right="111"/>
              <w:jc w:val="both"/>
              <w:rPr>
                <w:sz w:val="18"/>
              </w:rPr>
            </w:pPr>
            <w:r>
              <w:rPr>
                <w:sz w:val="16"/>
              </w:rPr>
              <w:t xml:space="preserve">70 % </w:t>
            </w:r>
            <w:r>
              <w:rPr>
                <w:sz w:val="16"/>
              </w:rPr>
              <w:t xml:space="preserve">UT, </w:t>
            </w:r>
            <w:r>
              <w:rPr>
                <w:sz w:val="16"/>
              </w:rPr>
              <w:t>trvající</w:t>
            </w:r>
            <w:r>
              <w:rPr>
                <w:sz w:val="16"/>
              </w:rPr>
              <w:t xml:space="preserve"> 25 cyklů </w:t>
            </w:r>
            <w:r>
              <w:rPr>
                <w:sz w:val="16"/>
              </w:rPr>
              <w:t xml:space="preserve">(při </w:t>
            </w:r>
            <w:r>
              <w:rPr>
                <w:sz w:val="16"/>
              </w:rPr>
              <w:t>UT,</w:t>
            </w:r>
            <w:r>
              <w:rPr>
                <w:sz w:val="16"/>
              </w:rPr>
              <w:t xml:space="preserve"> 30% </w:t>
            </w:r>
            <w:r>
              <w:rPr>
                <w:spacing w:val="-4"/>
                <w:sz w:val="16"/>
              </w:rPr>
              <w:t>pokles)</w:t>
            </w:r>
          </w:p>
          <w:p>
            <w:pPr>
              <w:pStyle w:val="TableParagraph"/>
              <w:spacing w:before="62" w:line="266" w:lineRule="auto"/>
              <w:ind w:left="108" w:right="118"/>
              <w:jc w:val="both"/>
              <w:rPr>
                <w:sz w:val="18"/>
              </w:rPr>
            </w:pPr>
            <w:r>
              <w:rPr>
                <w:sz w:val="16"/>
              </w:rPr>
              <w:t xml:space="preserve">&lt;5 % </w:t>
            </w:r>
            <w:r>
              <w:rPr>
                <w:sz w:val="16"/>
              </w:rPr>
              <w:t xml:space="preserve">UT, </w:t>
            </w:r>
            <w:r>
              <w:rPr>
                <w:sz w:val="16"/>
              </w:rPr>
              <w:t>trvající</w:t>
            </w:r>
            <w:r>
              <w:rPr>
                <w:sz w:val="16"/>
              </w:rPr>
              <w:t xml:space="preserve"> 5 s (při UT, &gt;95 % pokles)</w:t>
            </w:r>
          </w:p>
        </w:tc>
        <w:tc>
          <w:tcPr>
            <w:tcW w:w="1730" w:type="dxa"/>
          </w:tcPr>
          <w:p>
            <w:pPr>
              <w:pStyle w:val="TableParagraph"/>
              <w:spacing w:before="99" w:line="266" w:lineRule="auto"/>
              <w:ind w:left="108"/>
              <w:rPr>
                <w:sz w:val="18"/>
              </w:rPr>
            </w:pPr>
            <w:r>
              <w:rPr>
                <w:sz w:val="16"/>
              </w:rPr>
              <w:t xml:space="preserve">&lt;5 % </w:t>
            </w:r>
            <w:r>
              <w:rPr>
                <w:sz w:val="16"/>
              </w:rPr>
              <w:t xml:space="preserve">UT, </w:t>
            </w:r>
            <w:r>
              <w:rPr>
                <w:sz w:val="16"/>
              </w:rPr>
              <w:t>trvající</w:t>
            </w:r>
            <w:r>
              <w:rPr>
                <w:sz w:val="16"/>
              </w:rPr>
              <w:t xml:space="preserve"> 0,5 cyklu, (při</w:t>
            </w:r>
          </w:p>
          <w:p>
            <w:pPr>
              <w:pStyle w:val="TableParagraph"/>
              <w:spacing w:before="1"/>
              <w:ind w:left="108"/>
              <w:rPr>
                <w:sz w:val="18"/>
              </w:rPr>
            </w:pPr>
            <w:r>
              <w:rPr>
                <w:sz w:val="16"/>
              </w:rPr>
              <w:t xml:space="preserve">UT, </w:t>
            </w:r>
            <w:r>
              <w:rPr>
                <w:spacing w:val="-4"/>
                <w:sz w:val="16"/>
              </w:rPr>
              <w:t>pokles</w:t>
            </w:r>
            <w:r>
              <w:rPr>
                <w:sz w:val="16"/>
              </w:rPr>
              <w:t xml:space="preserve"> &gt;95 %</w:t>
            </w:r>
            <w:r>
              <w:rPr>
                <w:spacing w:val="-4"/>
                <w:sz w:val="16"/>
              </w:rPr>
              <w:t>)</w:t>
            </w:r>
          </w:p>
          <w:p>
            <w:pPr>
              <w:pStyle w:val="TableParagraph"/>
              <w:spacing w:before="86" w:line="266" w:lineRule="auto"/>
              <w:ind w:left="108" w:right="20"/>
              <w:rPr>
                <w:sz w:val="18"/>
              </w:rPr>
            </w:pPr>
            <w:r>
              <w:rPr>
                <w:sz w:val="16"/>
              </w:rPr>
              <w:t xml:space="preserve">40 % UT, trvající 5 cyklů </w:t>
            </w:r>
            <w:r>
              <w:rPr>
                <w:sz w:val="16"/>
              </w:rPr>
              <w:t xml:space="preserve">(při </w:t>
            </w:r>
            <w:r>
              <w:rPr>
                <w:sz w:val="16"/>
              </w:rPr>
              <w:t xml:space="preserve">UT, </w:t>
            </w:r>
            <w:r>
              <w:rPr>
                <w:spacing w:val="-4"/>
                <w:sz w:val="16"/>
              </w:rPr>
              <w:t>pokles o</w:t>
            </w:r>
            <w:r>
              <w:rPr>
                <w:sz w:val="16"/>
              </w:rPr>
              <w:t xml:space="preserve"> 60 %</w:t>
            </w:r>
            <w:r>
              <w:rPr>
                <w:spacing w:val="-4"/>
                <w:sz w:val="16"/>
              </w:rPr>
              <w:t>)</w:t>
            </w:r>
          </w:p>
          <w:p>
            <w:pPr>
              <w:pStyle w:val="TableParagraph"/>
              <w:spacing w:before="62" w:line="266" w:lineRule="auto"/>
              <w:ind w:left="108" w:right="213"/>
              <w:jc w:val="both"/>
              <w:rPr>
                <w:sz w:val="18"/>
              </w:rPr>
            </w:pPr>
            <w:r>
              <w:rPr>
                <w:sz w:val="16"/>
              </w:rPr>
              <w:t xml:space="preserve">70 % </w:t>
            </w:r>
            <w:r>
              <w:rPr>
                <w:sz w:val="16"/>
              </w:rPr>
              <w:t xml:space="preserve">UT, </w:t>
            </w:r>
            <w:r>
              <w:rPr>
                <w:sz w:val="16"/>
              </w:rPr>
              <w:t>trvající</w:t>
            </w:r>
            <w:r>
              <w:rPr>
                <w:sz w:val="16"/>
              </w:rPr>
              <w:t xml:space="preserve"> 25 cyklů </w:t>
            </w:r>
            <w:r>
              <w:rPr>
                <w:sz w:val="16"/>
              </w:rPr>
              <w:t xml:space="preserve">(při </w:t>
            </w:r>
            <w:r>
              <w:rPr>
                <w:sz w:val="16"/>
              </w:rPr>
              <w:t xml:space="preserve">UT, </w:t>
            </w:r>
            <w:r>
              <w:rPr>
                <w:spacing w:val="-4"/>
                <w:sz w:val="16"/>
              </w:rPr>
              <w:t>pokles o</w:t>
            </w:r>
            <w:r>
              <w:rPr>
                <w:sz w:val="16"/>
              </w:rPr>
              <w:t xml:space="preserve"> 30 %</w:t>
            </w:r>
            <w:r>
              <w:rPr>
                <w:spacing w:val="-4"/>
                <w:sz w:val="16"/>
              </w:rPr>
              <w:t>)</w:t>
            </w:r>
          </w:p>
          <w:p>
            <w:pPr>
              <w:pStyle w:val="TableParagraph"/>
              <w:spacing w:before="62" w:line="266" w:lineRule="auto"/>
              <w:ind w:left="108" w:right="221"/>
              <w:jc w:val="both"/>
              <w:rPr>
                <w:sz w:val="18"/>
              </w:rPr>
            </w:pPr>
            <w:r>
              <w:rPr>
                <w:sz w:val="16"/>
              </w:rPr>
              <w:t xml:space="preserve">&lt;5 % </w:t>
            </w:r>
            <w:r>
              <w:rPr>
                <w:sz w:val="16"/>
              </w:rPr>
              <w:t xml:space="preserve">UT, </w:t>
            </w:r>
            <w:r>
              <w:rPr>
                <w:sz w:val="16"/>
              </w:rPr>
              <w:t>trvající</w:t>
            </w:r>
            <w:r>
              <w:rPr>
                <w:sz w:val="16"/>
              </w:rPr>
              <w:t xml:space="preserve"> 5 s (při UT, &gt;95 % pokles)</w:t>
            </w:r>
          </w:p>
        </w:tc>
        <w:tc>
          <w:tcPr>
            <w:tcW w:w="2288" w:type="dxa"/>
          </w:tcPr>
          <w:p>
            <w:pPr>
              <w:pStyle w:val="TableParagraph"/>
              <w:spacing w:before="77" w:line="266" w:lineRule="auto"/>
              <w:ind w:left="106" w:right="137"/>
              <w:rPr>
                <w:sz w:val="18"/>
              </w:rPr>
            </w:pPr>
            <w:r>
              <w:rPr>
                <w:sz w:val="16"/>
              </w:rPr>
              <w:t>Síťové</w:t>
            </w:r>
            <w:r>
              <w:rPr>
                <w:sz w:val="16"/>
              </w:rPr>
              <w:t xml:space="preserve"> </w:t>
            </w:r>
            <w:r>
              <w:rPr>
                <w:sz w:val="16"/>
              </w:rPr>
              <w:t xml:space="preserve">napájení </w:t>
            </w:r>
            <w:r>
              <w:rPr>
                <w:sz w:val="16"/>
              </w:rPr>
              <w:t xml:space="preserve">musí </w:t>
            </w:r>
            <w:r>
              <w:rPr>
                <w:sz w:val="16"/>
              </w:rPr>
              <w:t xml:space="preserve">mít typickou kvalitu pro použití v komerčním nebo nemocničním prostředí. </w:t>
            </w:r>
            <w:r>
              <w:rPr>
                <w:sz w:val="16"/>
              </w:rPr>
              <w:t xml:space="preserve">Pokud </w:t>
            </w:r>
            <w:r>
              <w:rPr>
                <w:sz w:val="16"/>
              </w:rPr>
              <w:t xml:space="preserve">je během </w:t>
            </w:r>
            <w:r>
              <w:rPr>
                <w:sz w:val="16"/>
              </w:rPr>
              <w:t xml:space="preserve">výpadku </w:t>
            </w:r>
            <w:r>
              <w:rPr>
                <w:sz w:val="16"/>
              </w:rPr>
              <w:t xml:space="preserve">napájení </w:t>
            </w:r>
            <w:r>
              <w:rPr>
                <w:sz w:val="16"/>
              </w:rPr>
              <w:t>nutné nepřetržité provozování injekční pumpy HK-400III</w:t>
            </w:r>
            <w:r>
              <w:rPr>
                <w:sz w:val="16"/>
              </w:rPr>
              <w:t xml:space="preserve">, </w:t>
            </w:r>
            <w:r>
              <w:rPr>
                <w:sz w:val="16"/>
              </w:rPr>
              <w:t>doporučuje</w:t>
            </w:r>
            <w:r>
              <w:rPr>
                <w:sz w:val="16"/>
              </w:rPr>
              <w:t xml:space="preserve"> se </w:t>
            </w:r>
            <w:r>
              <w:rPr>
                <w:sz w:val="16"/>
              </w:rPr>
              <w:t xml:space="preserve">pro injekční </w:t>
            </w:r>
            <w:r>
              <w:rPr>
                <w:spacing w:val="-2"/>
                <w:sz w:val="16"/>
              </w:rPr>
              <w:t>pumpu</w:t>
            </w:r>
            <w:r>
              <w:rPr>
                <w:sz w:val="16"/>
              </w:rPr>
              <w:t xml:space="preserve"> HK-400III </w:t>
            </w:r>
            <w:r>
              <w:rPr>
                <w:sz w:val="16"/>
              </w:rPr>
              <w:t xml:space="preserve">použít </w:t>
            </w:r>
            <w:r>
              <w:rPr>
                <w:sz w:val="16"/>
              </w:rPr>
              <w:t>nepřerušitelný zdroj napájení nebo napájení z baterie</w:t>
            </w:r>
            <w:r>
              <w:rPr>
                <w:spacing w:val="-2"/>
                <w:sz w:val="16"/>
              </w:rPr>
              <w:t>.</w:t>
            </w:r>
          </w:p>
        </w:tc>
      </w:tr>
      <w:tr>
        <w:tblPrEx>
          <w:tblW w:w="0" w:type="auto"/>
          <w:tblInd w:w="239" w:type="dxa"/>
          <w:tblLayout w:type="fixed"/>
          <w:tblLook w:val="01E0"/>
        </w:tblPrEx>
        <w:trPr>
          <w:trHeight w:val="1344"/>
        </w:trPr>
        <w:tc>
          <w:tcPr>
            <w:tcW w:w="1426" w:type="dxa"/>
          </w:tcPr>
          <w:p>
            <w:pPr>
              <w:pStyle w:val="TableParagraph"/>
              <w:spacing w:before="83" w:line="266" w:lineRule="auto"/>
              <w:ind w:left="108" w:right="265"/>
              <w:rPr>
                <w:sz w:val="18"/>
              </w:rPr>
            </w:pPr>
            <w:r>
              <w:rPr>
                <w:sz w:val="16"/>
              </w:rPr>
              <w:t xml:space="preserve">Magnetické </w:t>
            </w:r>
            <w:r>
              <w:rPr>
                <w:sz w:val="16"/>
              </w:rPr>
              <w:t xml:space="preserve">pole </w:t>
            </w:r>
            <w:r>
              <w:rPr>
                <w:spacing w:val="-2"/>
                <w:sz w:val="16"/>
              </w:rPr>
              <w:t xml:space="preserve">síťové frekvence </w:t>
            </w:r>
            <w:r>
              <w:rPr>
                <w:sz w:val="16"/>
              </w:rPr>
              <w:t>(50/60 Hz)</w:t>
            </w:r>
          </w:p>
          <w:p>
            <w:pPr>
              <w:pStyle w:val="TableParagraph"/>
              <w:spacing w:before="62"/>
              <w:ind w:left="108"/>
              <w:rPr>
                <w:sz w:val="18"/>
              </w:rPr>
            </w:pPr>
            <w:r>
              <w:rPr>
                <w:sz w:val="16"/>
              </w:rPr>
              <w:t>lEC</w:t>
            </w:r>
            <w:r>
              <w:rPr>
                <w:spacing w:val="-10"/>
                <w:sz w:val="16"/>
              </w:rPr>
              <w:t xml:space="preserve"> 61000-4-8</w:t>
            </w:r>
          </w:p>
        </w:tc>
        <w:tc>
          <w:tcPr>
            <w:tcW w:w="1627" w:type="dxa"/>
          </w:tcPr>
          <w:p>
            <w:pPr>
              <w:pStyle w:val="TableParagraph"/>
              <w:rPr>
                <w:sz w:val="18"/>
              </w:rPr>
            </w:pPr>
          </w:p>
          <w:p>
            <w:pPr>
              <w:pStyle w:val="TableParagraph"/>
              <w:spacing w:before="158"/>
              <w:rPr>
                <w:sz w:val="18"/>
              </w:rPr>
            </w:pPr>
          </w:p>
          <w:p>
            <w:pPr>
              <w:pStyle w:val="TableParagraph"/>
              <w:ind w:left="108"/>
              <w:rPr>
                <w:sz w:val="18"/>
              </w:rPr>
            </w:pPr>
            <w:r>
              <w:rPr>
                <w:spacing w:val="-4"/>
                <w:sz w:val="16"/>
              </w:rPr>
              <w:t>3 A/m</w:t>
            </w:r>
          </w:p>
        </w:tc>
        <w:tc>
          <w:tcPr>
            <w:tcW w:w="1730" w:type="dxa"/>
          </w:tcPr>
          <w:p>
            <w:pPr>
              <w:pStyle w:val="TableParagraph"/>
              <w:rPr>
                <w:sz w:val="18"/>
              </w:rPr>
            </w:pPr>
          </w:p>
          <w:p>
            <w:pPr>
              <w:pStyle w:val="TableParagraph"/>
              <w:spacing w:before="158"/>
              <w:rPr>
                <w:sz w:val="18"/>
              </w:rPr>
            </w:pPr>
          </w:p>
          <w:p>
            <w:pPr>
              <w:pStyle w:val="TableParagraph"/>
              <w:ind w:left="108"/>
              <w:rPr>
                <w:sz w:val="18"/>
              </w:rPr>
            </w:pPr>
            <w:r>
              <w:rPr>
                <w:spacing w:val="-4"/>
                <w:sz w:val="16"/>
              </w:rPr>
              <w:t>3A/m</w:t>
            </w:r>
          </w:p>
        </w:tc>
        <w:tc>
          <w:tcPr>
            <w:tcW w:w="2288" w:type="dxa"/>
          </w:tcPr>
          <w:p>
            <w:pPr>
              <w:pStyle w:val="TableParagraph"/>
              <w:spacing w:before="114" w:line="266" w:lineRule="auto"/>
              <w:ind w:left="106" w:right="137"/>
              <w:rPr>
                <w:sz w:val="18"/>
              </w:rPr>
            </w:pPr>
            <w:r>
              <w:rPr>
                <w:sz w:val="16"/>
              </w:rPr>
              <w:t xml:space="preserve">Magnetické </w:t>
            </w:r>
            <w:r>
              <w:rPr>
                <w:sz w:val="16"/>
              </w:rPr>
              <w:t xml:space="preserve">pole </w:t>
            </w:r>
            <w:r>
              <w:rPr>
                <w:sz w:val="16"/>
              </w:rPr>
              <w:t xml:space="preserve">s frekvencí napájení </w:t>
            </w:r>
            <w:r>
              <w:rPr>
                <w:sz w:val="16"/>
              </w:rPr>
              <w:t xml:space="preserve">by mělo </w:t>
            </w:r>
            <w:r>
              <w:rPr>
                <w:sz w:val="16"/>
              </w:rPr>
              <w:t xml:space="preserve">mít typické </w:t>
            </w:r>
            <w:r>
              <w:rPr>
                <w:sz w:val="16"/>
              </w:rPr>
              <w:t xml:space="preserve">úrovně </w:t>
            </w:r>
            <w:r>
              <w:rPr>
                <w:sz w:val="16"/>
              </w:rPr>
              <w:t>charakteristické pro typické komerční nebo nemocniční prostředí.</w:t>
            </w:r>
          </w:p>
        </w:tc>
      </w:tr>
      <w:tr>
        <w:tblPrEx>
          <w:tblW w:w="0" w:type="auto"/>
          <w:tblInd w:w="239" w:type="dxa"/>
          <w:tblLayout w:type="fixed"/>
          <w:tblLook w:val="01E0"/>
        </w:tblPrEx>
        <w:trPr>
          <w:trHeight w:val="353"/>
        </w:trPr>
        <w:tc>
          <w:tcPr>
            <w:tcW w:w="7071" w:type="dxa"/>
            <w:gridSpan w:val="4"/>
          </w:tcPr>
          <w:p>
            <w:pPr>
              <w:pStyle w:val="TableParagraph"/>
              <w:spacing w:before="77"/>
              <w:ind w:left="108"/>
              <w:rPr>
                <w:sz w:val="18"/>
              </w:rPr>
            </w:pPr>
            <w:r>
              <w:rPr>
                <w:sz w:val="16"/>
              </w:rPr>
              <w:t xml:space="preserve">Poznámka: </w:t>
            </w:r>
            <w:r>
              <w:rPr>
                <w:sz w:val="16"/>
              </w:rPr>
              <w:t xml:space="preserve">UT </w:t>
            </w:r>
            <w:r>
              <w:rPr>
                <w:sz w:val="16"/>
              </w:rPr>
              <w:t xml:space="preserve">označuje </w:t>
            </w:r>
            <w:r>
              <w:rPr>
                <w:sz w:val="16"/>
              </w:rPr>
              <w:t xml:space="preserve">střídavé síťové </w:t>
            </w:r>
            <w:r>
              <w:rPr>
                <w:sz w:val="16"/>
              </w:rPr>
              <w:t xml:space="preserve">napětí </w:t>
            </w:r>
            <w:r>
              <w:rPr>
                <w:sz w:val="16"/>
              </w:rPr>
              <w:t xml:space="preserve">před </w:t>
            </w:r>
            <w:r>
              <w:rPr>
                <w:sz w:val="16"/>
              </w:rPr>
              <w:t xml:space="preserve">přivedením </w:t>
            </w:r>
            <w:r>
              <w:rPr>
                <w:sz w:val="16"/>
              </w:rPr>
              <w:t xml:space="preserve">zkušebního </w:t>
            </w:r>
            <w:r>
              <w:rPr>
                <w:spacing w:val="-2"/>
                <w:sz w:val="16"/>
              </w:rPr>
              <w:t>napětí.</w:t>
            </w:r>
          </w:p>
        </w:tc>
      </w:tr>
    </w:tbl>
    <w:p>
      <w:pPr>
        <w:pStyle w:val="TableParagraph"/>
        <w:spacing w:after="0"/>
        <w:rPr>
          <w:sz w:val="18"/>
        </w:rPr>
        <w:sectPr>
          <w:type w:val="continuous"/>
          <w:pgSz w:w="8390" w:h="11910"/>
          <w:pgMar w:top="700" w:right="425" w:bottom="540" w:left="425" w:header="0" w:footer="342"/>
          <w:cols w:space="708"/>
        </w:sectPr>
      </w:pPr>
    </w:p>
    <w:tbl>
      <w:tblPr>
        <w:tblStyle w:val="TableNormal"/>
        <w:tblW w:w="0" w:type="auto"/>
        <w:jc w:val="left"/>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7"/>
        <w:gridCol w:w="1275"/>
        <w:gridCol w:w="1201"/>
        <w:gridCol w:w="3122"/>
      </w:tblGrid>
      <w:tr>
        <w:tblPrEx>
          <w:tblW w:w="0" w:type="auto"/>
          <w:tblInd w:w="242" w:type="dxa"/>
          <w:tblLayout w:type="fixed"/>
          <w:tblLook w:val="01E0"/>
        </w:tblPrEx>
        <w:trPr>
          <w:trHeight w:val="597"/>
        </w:trPr>
        <w:tc>
          <w:tcPr>
            <w:tcW w:w="7065" w:type="dxa"/>
            <w:gridSpan w:val="4"/>
          </w:tcPr>
          <w:p>
            <w:pPr>
              <w:pStyle w:val="TableParagraph"/>
              <w:spacing w:before="202"/>
              <w:ind w:left="9"/>
              <w:jc w:val="center"/>
              <w:rPr>
                <w:sz w:val="18"/>
              </w:rPr>
            </w:pPr>
            <w:r>
              <w:rPr>
                <w:sz w:val="16"/>
              </w:rPr>
              <w:t xml:space="preserve">Pokyny </w:t>
            </w:r>
            <w:r>
              <w:rPr>
                <w:sz w:val="16"/>
              </w:rPr>
              <w:t xml:space="preserve">a </w:t>
            </w:r>
            <w:r>
              <w:rPr>
                <w:sz w:val="16"/>
              </w:rPr>
              <w:t xml:space="preserve">prohlášení </w:t>
            </w:r>
            <w:r>
              <w:rPr>
                <w:sz w:val="16"/>
              </w:rPr>
              <w:t xml:space="preserve">výrobce </w:t>
            </w:r>
            <w:r>
              <w:rPr>
                <w:sz w:val="16"/>
              </w:rPr>
              <w:t xml:space="preserve">– </w:t>
            </w:r>
            <w:r>
              <w:rPr>
                <w:sz w:val="16"/>
              </w:rPr>
              <w:t xml:space="preserve">elektromagnetická </w:t>
            </w:r>
            <w:r>
              <w:rPr>
                <w:spacing w:val="-2"/>
                <w:sz w:val="16"/>
              </w:rPr>
              <w:t>odolnost</w:t>
            </w:r>
          </w:p>
        </w:tc>
      </w:tr>
      <w:tr>
        <w:tblPrEx>
          <w:tblW w:w="0" w:type="auto"/>
          <w:tblInd w:w="242" w:type="dxa"/>
          <w:tblLayout w:type="fixed"/>
          <w:tblLook w:val="01E0"/>
        </w:tblPrEx>
        <w:trPr>
          <w:trHeight w:val="844"/>
        </w:trPr>
        <w:tc>
          <w:tcPr>
            <w:tcW w:w="7065" w:type="dxa"/>
            <w:gridSpan w:val="4"/>
          </w:tcPr>
          <w:p>
            <w:pPr>
              <w:pStyle w:val="TableParagraph"/>
              <w:spacing w:before="86" w:line="278" w:lineRule="auto"/>
              <w:ind w:left="108" w:right="96"/>
              <w:jc w:val="both"/>
              <w:rPr>
                <w:sz w:val="18"/>
              </w:rPr>
            </w:pPr>
            <w:r>
              <w:rPr>
                <w:sz w:val="16"/>
              </w:rPr>
              <w:t xml:space="preserve">Injekční </w:t>
            </w:r>
            <w:r>
              <w:rPr>
                <w:sz w:val="16"/>
              </w:rPr>
              <w:t xml:space="preserve">pumpa </w:t>
            </w:r>
            <w:r>
              <w:rPr>
                <w:sz w:val="16"/>
              </w:rPr>
              <w:t xml:space="preserve">HK-400III </w:t>
            </w:r>
            <w:r>
              <w:rPr>
                <w:sz w:val="16"/>
              </w:rPr>
              <w:t xml:space="preserve">je </w:t>
            </w:r>
            <w:r>
              <w:rPr>
                <w:sz w:val="16"/>
              </w:rPr>
              <w:t xml:space="preserve">určena </w:t>
            </w:r>
            <w:r>
              <w:rPr>
                <w:sz w:val="16"/>
              </w:rPr>
              <w:t xml:space="preserve">k </w:t>
            </w:r>
            <w:r>
              <w:rPr>
                <w:sz w:val="16"/>
              </w:rPr>
              <w:t xml:space="preserve">použití </w:t>
            </w:r>
            <w:r>
              <w:rPr>
                <w:sz w:val="16"/>
              </w:rPr>
              <w:t xml:space="preserve">v </w:t>
            </w:r>
            <w:r>
              <w:rPr>
                <w:sz w:val="16"/>
              </w:rPr>
              <w:t xml:space="preserve">následujícím </w:t>
            </w:r>
            <w:r>
              <w:rPr>
                <w:sz w:val="16"/>
              </w:rPr>
              <w:t xml:space="preserve">specifikovaném </w:t>
            </w:r>
            <w:r>
              <w:rPr>
                <w:sz w:val="16"/>
              </w:rPr>
              <w:t xml:space="preserve">elektromagnetickém prostředí </w:t>
            </w:r>
            <w:r>
              <w:rPr>
                <w:sz w:val="16"/>
              </w:rPr>
              <w:t xml:space="preserve">a </w:t>
            </w:r>
            <w:r>
              <w:rPr>
                <w:sz w:val="16"/>
              </w:rPr>
              <w:t xml:space="preserve">kupující nebo </w:t>
            </w:r>
            <w:r>
              <w:rPr>
                <w:sz w:val="16"/>
              </w:rPr>
              <w:t xml:space="preserve">uživatel </w:t>
            </w:r>
            <w:r>
              <w:rPr>
                <w:sz w:val="16"/>
              </w:rPr>
              <w:t xml:space="preserve">injekční </w:t>
            </w:r>
            <w:r>
              <w:rPr>
                <w:sz w:val="16"/>
              </w:rPr>
              <w:t xml:space="preserve">pumpy </w:t>
            </w:r>
            <w:r>
              <w:rPr>
                <w:sz w:val="16"/>
              </w:rPr>
              <w:t xml:space="preserve">HK-400III </w:t>
            </w:r>
            <w:r>
              <w:rPr>
                <w:sz w:val="16"/>
              </w:rPr>
              <w:t xml:space="preserve">by </w:t>
            </w:r>
            <w:r>
              <w:rPr>
                <w:sz w:val="16"/>
              </w:rPr>
              <w:t xml:space="preserve">měl zajistit </w:t>
            </w:r>
            <w:r>
              <w:rPr>
                <w:sz w:val="16"/>
              </w:rPr>
              <w:t xml:space="preserve">její </w:t>
            </w:r>
            <w:r>
              <w:rPr>
                <w:sz w:val="16"/>
              </w:rPr>
              <w:t xml:space="preserve">použití </w:t>
            </w:r>
            <w:r>
              <w:rPr>
                <w:sz w:val="16"/>
              </w:rPr>
              <w:t>v takovém elektromagnetickém prostředí:</w:t>
            </w:r>
          </w:p>
        </w:tc>
      </w:tr>
      <w:tr>
        <w:tblPrEx>
          <w:tblW w:w="0" w:type="auto"/>
          <w:tblInd w:w="242" w:type="dxa"/>
          <w:tblLayout w:type="fixed"/>
          <w:tblLook w:val="01E0"/>
        </w:tblPrEx>
        <w:trPr>
          <w:trHeight w:val="603"/>
        </w:trPr>
        <w:tc>
          <w:tcPr>
            <w:tcW w:w="1467" w:type="dxa"/>
          </w:tcPr>
          <w:p>
            <w:pPr>
              <w:pStyle w:val="TableParagraph"/>
              <w:spacing w:before="206"/>
              <w:ind w:left="108"/>
              <w:rPr>
                <w:sz w:val="18"/>
              </w:rPr>
            </w:pPr>
            <w:r>
              <w:rPr>
                <w:spacing w:val="-4"/>
                <w:sz w:val="16"/>
              </w:rPr>
              <w:t xml:space="preserve">Zkouška </w:t>
            </w:r>
            <w:r>
              <w:rPr>
                <w:sz w:val="16"/>
              </w:rPr>
              <w:t>odolnosti</w:t>
            </w:r>
          </w:p>
        </w:tc>
        <w:tc>
          <w:tcPr>
            <w:tcW w:w="1275" w:type="dxa"/>
          </w:tcPr>
          <w:p>
            <w:pPr>
              <w:pStyle w:val="TableParagraph"/>
              <w:spacing w:before="86"/>
              <w:ind w:left="107"/>
              <w:rPr>
                <w:sz w:val="18"/>
              </w:rPr>
            </w:pPr>
            <w:r>
              <w:rPr>
                <w:sz w:val="16"/>
              </w:rPr>
              <w:t>IEC</w:t>
            </w:r>
            <w:r>
              <w:rPr>
                <w:spacing w:val="-2"/>
                <w:sz w:val="16"/>
              </w:rPr>
              <w:t xml:space="preserve"> 60601</w:t>
            </w:r>
          </w:p>
          <w:p>
            <w:pPr>
              <w:pStyle w:val="TableParagraph"/>
              <w:spacing w:before="33"/>
              <w:ind w:left="107"/>
              <w:rPr>
                <w:sz w:val="18"/>
              </w:rPr>
            </w:pPr>
            <w:r>
              <w:rPr>
                <w:spacing w:val="-2"/>
                <w:sz w:val="16"/>
              </w:rPr>
              <w:t xml:space="preserve">Úroveň </w:t>
            </w:r>
            <w:r>
              <w:rPr>
                <w:spacing w:val="-2"/>
                <w:sz w:val="16"/>
              </w:rPr>
              <w:t>zkoušky</w:t>
            </w:r>
          </w:p>
        </w:tc>
        <w:tc>
          <w:tcPr>
            <w:tcW w:w="1201" w:type="dxa"/>
          </w:tcPr>
          <w:p>
            <w:pPr>
              <w:pStyle w:val="TableParagraph"/>
              <w:spacing w:before="86" w:line="278" w:lineRule="auto"/>
              <w:ind w:left="106"/>
              <w:rPr>
                <w:sz w:val="18"/>
              </w:rPr>
            </w:pPr>
            <w:r>
              <w:rPr>
                <w:spacing w:val="-2"/>
                <w:sz w:val="16"/>
              </w:rPr>
              <w:t>Úroveň shody</w:t>
            </w:r>
          </w:p>
        </w:tc>
        <w:tc>
          <w:tcPr>
            <w:tcW w:w="3122" w:type="dxa"/>
          </w:tcPr>
          <w:p>
            <w:pPr>
              <w:pStyle w:val="TableParagraph"/>
              <w:spacing w:before="86" w:line="278" w:lineRule="auto"/>
              <w:ind w:left="108" w:right="122"/>
              <w:rPr>
                <w:sz w:val="18"/>
              </w:rPr>
            </w:pPr>
            <w:r>
              <w:rPr>
                <w:sz w:val="16"/>
              </w:rPr>
              <w:t xml:space="preserve">Elektromagnetické </w:t>
            </w:r>
            <w:r>
              <w:rPr>
                <w:sz w:val="16"/>
              </w:rPr>
              <w:t xml:space="preserve">prostředí </w:t>
            </w:r>
            <w:r>
              <w:rPr>
                <w:sz w:val="16"/>
              </w:rPr>
              <w:t xml:space="preserve">– </w:t>
            </w:r>
            <w:r>
              <w:rPr>
                <w:spacing w:val="-2"/>
                <w:sz w:val="16"/>
              </w:rPr>
              <w:t>pokyny</w:t>
            </w:r>
          </w:p>
        </w:tc>
      </w:tr>
      <w:tr>
        <w:tblPrEx>
          <w:tblW w:w="0" w:type="auto"/>
          <w:tblInd w:w="242" w:type="dxa"/>
          <w:tblLayout w:type="fixed"/>
          <w:tblLook w:val="01E0"/>
        </w:tblPrEx>
        <w:trPr>
          <w:trHeight w:val="1784"/>
        </w:trPr>
        <w:tc>
          <w:tcPr>
            <w:tcW w:w="1467" w:type="dxa"/>
            <w:tcBorders>
              <w:bottom w:val="nil"/>
            </w:tcBorders>
          </w:tcPr>
          <w:p>
            <w:pPr>
              <w:pStyle w:val="TableParagraph"/>
              <w:rPr>
                <w:sz w:val="16"/>
              </w:rPr>
            </w:pPr>
          </w:p>
        </w:tc>
        <w:tc>
          <w:tcPr>
            <w:tcW w:w="1275" w:type="dxa"/>
            <w:tcBorders>
              <w:bottom w:val="nil"/>
            </w:tcBorders>
          </w:tcPr>
          <w:p>
            <w:pPr>
              <w:pStyle w:val="TableParagraph"/>
              <w:rPr>
                <w:sz w:val="16"/>
              </w:rPr>
            </w:pPr>
          </w:p>
        </w:tc>
        <w:tc>
          <w:tcPr>
            <w:tcW w:w="1201" w:type="dxa"/>
            <w:tcBorders>
              <w:bottom w:val="nil"/>
            </w:tcBorders>
          </w:tcPr>
          <w:p>
            <w:pPr>
              <w:pStyle w:val="TableParagraph"/>
              <w:rPr>
                <w:sz w:val="16"/>
              </w:rPr>
            </w:pPr>
          </w:p>
        </w:tc>
        <w:tc>
          <w:tcPr>
            <w:tcW w:w="3122" w:type="dxa"/>
            <w:tcBorders>
              <w:bottom w:val="nil"/>
            </w:tcBorders>
          </w:tcPr>
          <w:p>
            <w:pPr>
              <w:pStyle w:val="TableParagraph"/>
              <w:spacing w:before="54" w:line="240" w:lineRule="atLeast"/>
              <w:ind w:left="108" w:right="122"/>
              <w:rPr>
                <w:sz w:val="18"/>
              </w:rPr>
            </w:pPr>
            <w:r>
              <w:rPr>
                <w:sz w:val="16"/>
              </w:rPr>
              <w:t xml:space="preserve">Přenosná </w:t>
            </w:r>
            <w:r>
              <w:rPr>
                <w:sz w:val="16"/>
              </w:rPr>
              <w:t xml:space="preserve">a </w:t>
            </w:r>
            <w:r>
              <w:rPr>
                <w:sz w:val="16"/>
              </w:rPr>
              <w:t xml:space="preserve">mobilní </w:t>
            </w:r>
            <w:r>
              <w:rPr>
                <w:sz w:val="16"/>
              </w:rPr>
              <w:t xml:space="preserve">vysokofrekvenční </w:t>
            </w:r>
            <w:r>
              <w:rPr>
                <w:sz w:val="16"/>
              </w:rPr>
              <w:t xml:space="preserve">komunikační zařízení by neměla být používána v blízkosti žádné části injekční pumpy HK-400III, včetně kabelů. Doporučená vzdálenost je vypočítána podle </w:t>
            </w:r>
            <w:r>
              <w:rPr>
                <w:sz w:val="16"/>
              </w:rPr>
              <w:t>rovnice platné pro frekvenci vysílače.</w:t>
            </w:r>
          </w:p>
        </w:tc>
      </w:tr>
      <w:tr>
        <w:tblPrEx>
          <w:tblW w:w="0" w:type="auto"/>
          <w:tblInd w:w="242" w:type="dxa"/>
          <w:tblLayout w:type="fixed"/>
          <w:tblLook w:val="01E0"/>
        </w:tblPrEx>
        <w:trPr>
          <w:trHeight w:val="290"/>
        </w:trPr>
        <w:tc>
          <w:tcPr>
            <w:tcW w:w="1467" w:type="dxa"/>
            <w:tcBorders>
              <w:top w:val="nil"/>
              <w:bottom w:val="nil"/>
            </w:tcBorders>
          </w:tcPr>
          <w:p>
            <w:pPr>
              <w:pStyle w:val="TableParagraph"/>
              <w:rPr>
                <w:sz w:val="16"/>
              </w:rPr>
            </w:pPr>
          </w:p>
        </w:tc>
        <w:tc>
          <w:tcPr>
            <w:tcW w:w="1275" w:type="dxa"/>
            <w:tcBorders>
              <w:top w:val="nil"/>
              <w:bottom w:val="nil"/>
            </w:tcBorders>
          </w:tcPr>
          <w:p>
            <w:pPr>
              <w:pStyle w:val="TableParagraph"/>
              <w:rPr>
                <w:sz w:val="16"/>
              </w:rPr>
            </w:pPr>
          </w:p>
        </w:tc>
        <w:tc>
          <w:tcPr>
            <w:tcW w:w="1201" w:type="dxa"/>
            <w:tcBorders>
              <w:top w:val="nil"/>
              <w:bottom w:val="nil"/>
            </w:tcBorders>
          </w:tcPr>
          <w:p>
            <w:pPr>
              <w:pStyle w:val="TableParagraph"/>
              <w:rPr>
                <w:sz w:val="16"/>
              </w:rPr>
            </w:pPr>
          </w:p>
        </w:tc>
        <w:tc>
          <w:tcPr>
            <w:tcW w:w="3122" w:type="dxa"/>
            <w:tcBorders>
              <w:top w:val="nil"/>
              <w:bottom w:val="nil"/>
            </w:tcBorders>
          </w:tcPr>
          <w:p>
            <w:pPr>
              <w:pStyle w:val="TableParagraph"/>
              <w:spacing w:before="42"/>
              <w:ind w:left="108"/>
              <w:rPr>
                <w:sz w:val="18"/>
              </w:rPr>
            </w:pPr>
            <w:r>
              <w:rPr>
                <w:sz w:val="16"/>
              </w:rPr>
              <w:t xml:space="preserve">Doporučená </w:t>
            </w:r>
            <w:r>
              <w:rPr>
                <w:spacing w:val="-2"/>
                <w:sz w:val="16"/>
              </w:rPr>
              <w:t>vzdálenost</w:t>
            </w:r>
          </w:p>
        </w:tc>
      </w:tr>
      <w:tr>
        <w:tblPrEx>
          <w:tblW w:w="0" w:type="auto"/>
          <w:tblInd w:w="242" w:type="dxa"/>
          <w:tblLayout w:type="fixed"/>
          <w:tblLook w:val="01E0"/>
        </w:tblPrEx>
        <w:trPr>
          <w:trHeight w:val="3441"/>
        </w:trPr>
        <w:tc>
          <w:tcPr>
            <w:tcW w:w="1467" w:type="dxa"/>
            <w:tcBorders>
              <w:top w:val="nil"/>
              <w:bottom w:val="nil"/>
            </w:tcBorders>
          </w:tcPr>
          <w:p>
            <w:pPr>
              <w:pStyle w:val="TableParagraph"/>
              <w:spacing w:before="25"/>
              <w:rPr>
                <w:sz w:val="18"/>
              </w:rPr>
            </w:pPr>
          </w:p>
          <w:p>
            <w:pPr>
              <w:pStyle w:val="TableParagraph"/>
              <w:spacing w:line="350" w:lineRule="auto"/>
              <w:ind w:left="194" w:right="181" w:firstLine="7"/>
              <w:rPr>
                <w:sz w:val="18"/>
              </w:rPr>
            </w:pPr>
            <w:r>
              <w:rPr>
                <w:sz w:val="16"/>
              </w:rPr>
              <w:t xml:space="preserve">RF </w:t>
            </w:r>
            <w:r>
              <w:rPr>
                <w:sz w:val="16"/>
              </w:rPr>
              <w:t>vedení lEC</w:t>
            </w:r>
            <w:r>
              <w:rPr>
                <w:spacing w:val="-10"/>
                <w:sz w:val="16"/>
              </w:rPr>
              <w:t xml:space="preserve"> 61000-4-6</w:t>
            </w:r>
          </w:p>
          <w:p>
            <w:pPr>
              <w:pStyle w:val="TableParagraph"/>
              <w:rPr>
                <w:sz w:val="18"/>
              </w:rPr>
            </w:pPr>
          </w:p>
          <w:p>
            <w:pPr>
              <w:pStyle w:val="TableParagraph"/>
              <w:rPr>
                <w:sz w:val="18"/>
              </w:rPr>
            </w:pPr>
          </w:p>
          <w:p>
            <w:pPr>
              <w:pStyle w:val="TableParagraph"/>
              <w:rPr>
                <w:sz w:val="18"/>
              </w:rPr>
            </w:pPr>
          </w:p>
          <w:p>
            <w:pPr>
              <w:pStyle w:val="TableParagraph"/>
              <w:spacing w:before="79"/>
              <w:rPr>
                <w:sz w:val="18"/>
              </w:rPr>
            </w:pPr>
          </w:p>
          <w:p>
            <w:pPr>
              <w:pStyle w:val="TableParagraph"/>
              <w:spacing w:before="1" w:line="348" w:lineRule="auto"/>
              <w:ind w:left="194" w:right="181" w:firstLine="86"/>
              <w:rPr>
                <w:sz w:val="18"/>
              </w:rPr>
            </w:pPr>
            <w:r>
              <w:rPr>
                <w:sz w:val="16"/>
              </w:rPr>
              <w:t>RF záření lEC</w:t>
            </w:r>
            <w:r>
              <w:rPr>
                <w:spacing w:val="-10"/>
                <w:sz w:val="16"/>
              </w:rPr>
              <w:t xml:space="preserve"> 61000-4-3</w:t>
            </w:r>
          </w:p>
        </w:tc>
        <w:tc>
          <w:tcPr>
            <w:tcW w:w="1275" w:type="dxa"/>
            <w:tcBorders>
              <w:top w:val="nil"/>
              <w:bottom w:val="nil"/>
            </w:tcBorders>
          </w:tcPr>
          <w:p>
            <w:pPr>
              <w:pStyle w:val="TableParagraph"/>
              <w:spacing w:before="87"/>
              <w:rPr>
                <w:sz w:val="18"/>
              </w:rPr>
            </w:pPr>
          </w:p>
          <w:p>
            <w:pPr>
              <w:pStyle w:val="TableParagraph"/>
              <w:ind w:left="12" w:right="6"/>
              <w:jc w:val="center"/>
              <w:rPr>
                <w:sz w:val="18"/>
              </w:rPr>
            </w:pPr>
            <w:r>
              <w:rPr>
                <w:sz w:val="16"/>
              </w:rPr>
              <w:t xml:space="preserve">3 </w:t>
            </w:r>
            <w:r>
              <w:rPr>
                <w:spacing w:val="-4"/>
                <w:sz w:val="16"/>
              </w:rPr>
              <w:t>Vrms</w:t>
            </w:r>
          </w:p>
          <w:p>
            <w:pPr>
              <w:pStyle w:val="TableParagraph"/>
              <w:spacing w:before="96" w:line="278" w:lineRule="auto"/>
              <w:ind w:left="12"/>
              <w:jc w:val="center"/>
              <w:rPr>
                <w:sz w:val="18"/>
              </w:rPr>
            </w:pPr>
            <w:r>
              <w:rPr>
                <w:sz w:val="16"/>
              </w:rPr>
              <w:t xml:space="preserve">150 </w:t>
            </w:r>
            <w:r>
              <w:rPr>
                <w:sz w:val="16"/>
              </w:rPr>
              <w:t xml:space="preserve">kHz </w:t>
            </w:r>
            <w:r>
              <w:rPr>
                <w:sz w:val="16"/>
              </w:rPr>
              <w:t>až</w:t>
            </w:r>
            <w:r>
              <w:rPr>
                <w:sz w:val="16"/>
              </w:rPr>
              <w:t xml:space="preserve"> 80 </w:t>
            </w:r>
            <w:r>
              <w:rPr>
                <w:spacing w:val="-4"/>
                <w:sz w:val="16"/>
              </w:rPr>
              <w:t>MHz</w:t>
            </w:r>
          </w:p>
          <w:p>
            <w:pPr>
              <w:pStyle w:val="TableParagraph"/>
              <w:rPr>
                <w:sz w:val="18"/>
              </w:rPr>
            </w:pPr>
          </w:p>
          <w:p>
            <w:pPr>
              <w:pStyle w:val="TableParagraph"/>
              <w:rPr>
                <w:sz w:val="18"/>
              </w:rPr>
            </w:pPr>
          </w:p>
          <w:p>
            <w:pPr>
              <w:pStyle w:val="TableParagraph"/>
              <w:spacing w:before="46"/>
              <w:rPr>
                <w:sz w:val="18"/>
              </w:rPr>
            </w:pPr>
          </w:p>
          <w:p>
            <w:pPr>
              <w:pStyle w:val="TableParagraph"/>
              <w:ind w:left="12" w:right="6"/>
              <w:jc w:val="center"/>
              <w:rPr>
                <w:sz w:val="18"/>
              </w:rPr>
            </w:pPr>
            <w:r>
              <w:rPr>
                <w:sz w:val="16"/>
              </w:rPr>
              <w:t xml:space="preserve">3 </w:t>
            </w:r>
            <w:r>
              <w:rPr>
                <w:spacing w:val="-5"/>
                <w:sz w:val="16"/>
              </w:rPr>
              <w:t>V/m</w:t>
            </w:r>
          </w:p>
          <w:p>
            <w:pPr>
              <w:pStyle w:val="TableParagraph"/>
              <w:spacing w:before="93" w:line="278" w:lineRule="auto"/>
              <w:ind w:left="12"/>
              <w:jc w:val="center"/>
              <w:rPr>
                <w:sz w:val="18"/>
              </w:rPr>
            </w:pPr>
            <w:r>
              <w:rPr>
                <w:sz w:val="16"/>
              </w:rPr>
              <w:t xml:space="preserve">80 </w:t>
            </w:r>
            <w:r>
              <w:rPr>
                <w:sz w:val="16"/>
              </w:rPr>
              <w:t xml:space="preserve">MHz </w:t>
            </w:r>
            <w:r>
              <w:rPr>
                <w:sz w:val="16"/>
              </w:rPr>
              <w:t>až</w:t>
            </w:r>
            <w:r>
              <w:rPr>
                <w:sz w:val="16"/>
              </w:rPr>
              <w:t xml:space="preserve"> 2,5 </w:t>
            </w:r>
            <w:r>
              <w:rPr>
                <w:spacing w:val="-4"/>
                <w:sz w:val="16"/>
              </w:rPr>
              <w:t>GHz</w:t>
            </w:r>
          </w:p>
        </w:tc>
        <w:tc>
          <w:tcPr>
            <w:tcW w:w="1201" w:type="dxa"/>
            <w:tcBorders>
              <w:top w:val="nil"/>
              <w:bottom w:val="nil"/>
            </w:tcBorders>
          </w:tcPr>
          <w:p>
            <w:pPr>
              <w:pStyle w:val="TableParagraph"/>
              <w:rPr>
                <w:sz w:val="18"/>
              </w:rPr>
            </w:pPr>
          </w:p>
          <w:p>
            <w:pPr>
              <w:pStyle w:val="TableParagraph"/>
              <w:spacing w:before="120"/>
              <w:rPr>
                <w:sz w:val="18"/>
              </w:rPr>
            </w:pPr>
          </w:p>
          <w:p>
            <w:pPr>
              <w:pStyle w:val="TableParagraph"/>
              <w:ind w:left="339"/>
              <w:rPr>
                <w:sz w:val="18"/>
              </w:rPr>
            </w:pPr>
            <w:r>
              <w:rPr>
                <w:sz w:val="16"/>
              </w:rPr>
              <w:t xml:space="preserve">3 </w:t>
            </w:r>
            <w:r>
              <w:rPr>
                <w:spacing w:val="-4"/>
                <w:sz w:val="16"/>
              </w:rPr>
              <w:t>Vrms</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61"/>
              <w:rPr>
                <w:sz w:val="18"/>
              </w:rPr>
            </w:pPr>
          </w:p>
          <w:p>
            <w:pPr>
              <w:pStyle w:val="TableParagraph"/>
              <w:ind w:left="373"/>
              <w:rPr>
                <w:sz w:val="18"/>
              </w:rPr>
            </w:pPr>
            <w:r>
              <w:rPr>
                <w:sz w:val="16"/>
              </w:rPr>
              <w:t xml:space="preserve">3 </w:t>
            </w:r>
            <w:r>
              <w:rPr>
                <w:spacing w:val="-5"/>
                <w:sz w:val="16"/>
              </w:rPr>
              <w:t>V/m</w:t>
            </w:r>
          </w:p>
        </w:tc>
        <w:tc>
          <w:tcPr>
            <w:tcW w:w="3122" w:type="dxa"/>
            <w:tcBorders>
              <w:top w:val="nil"/>
              <w:bottom w:val="nil"/>
            </w:tcBorders>
          </w:tcPr>
          <w:p>
            <w:pPr>
              <w:pStyle w:val="TableParagraph"/>
              <w:spacing w:before="35"/>
              <w:ind w:left="108"/>
              <w:rPr>
                <w:i/>
                <w:sz w:val="16"/>
              </w:rPr>
            </w:pPr>
            <w:r>
              <w:rPr>
                <w:i/>
                <w:sz w:val="16"/>
              </w:rPr>
              <mc:AlternateContent>
                <mc:Choice Requires="wpg">
                  <w:drawing>
                    <wp:anchor distT="0" distB="0" distL="0" distR="0" simplePos="0" relativeHeight="251664384" behindDoc="1" locked="0" layoutInCell="1" allowOverlap="1">
                      <wp:simplePos x="0" y="0"/>
                      <wp:positionH relativeFrom="column">
                        <wp:posOffset>413048</wp:posOffset>
                      </wp:positionH>
                      <wp:positionV relativeFrom="paragraph">
                        <wp:posOffset>17262</wp:posOffset>
                      </wp:positionV>
                      <wp:extent cx="142240" cy="108585"/>
                      <wp:effectExtent l="0" t="0" r="0" b="0"/>
                      <wp:wrapNone/>
                      <wp:docPr id="102" name="Group 102"/>
                      <wp:cNvGraphicFramePr/>
                      <a:graphic xmlns:a="http://schemas.openxmlformats.org/drawingml/2006/main">
                        <a:graphicData uri="http://schemas.microsoft.com/office/word/2010/wordprocessingGroup">
                          <wpg:wgp xmlns:wpg="http://schemas.microsoft.com/office/word/2010/wordprocessingGroup">
                            <wpg:cNvGrpSpPr/>
                            <wpg:grpSpPr>
                              <a:xfrm>
                                <a:off x="0" y="0"/>
                                <a:ext cx="142240" cy="108585"/>
                                <a:chOff x="0" y="0"/>
                                <a:chExt cx="142240" cy="108585"/>
                              </a:xfrm>
                            </wpg:grpSpPr>
                            <wps:wsp xmlns:wps="http://schemas.microsoft.com/office/word/2010/wordprocessingShape">
                              <wps:cNvPr id="103" name="Graphic 103"/>
                              <wps:cNvSpPr/>
                              <wps:spPr>
                                <a:xfrm>
                                  <a:off x="2139" y="67621"/>
                                  <a:ext cx="13335" cy="7620"/>
                                </a:xfrm>
                                <a:custGeom>
                                  <a:avLst/>
                                  <a:gdLst/>
                                  <a:rect l="l" t="t" r="r" b="b"/>
                                  <a:pathLst>
                                    <a:path fill="norm" h="7620" w="13335" stroke="1">
                                      <a:moveTo>
                                        <a:pt x="0" y="7442"/>
                                      </a:moveTo>
                                      <a:lnTo>
                                        <a:pt x="13195" y="0"/>
                                      </a:lnTo>
                                    </a:path>
                                  </a:pathLst>
                                </a:custGeom>
                                <a:ln w="4279">
                                  <a:solidFill>
                                    <a:srgbClr val="000000"/>
                                  </a:solidFill>
                                  <a:prstDash val="solid"/>
                                </a:ln>
                              </wps:spPr>
                              <wps:bodyPr wrap="square" lIns="0" tIns="0" rIns="0" bIns="0" rtlCol="0">
                                <a:prstTxWarp prst="textNoShape">
                                  <a:avLst/>
                                </a:prstTxWarp>
                              </wps:bodyPr>
                            </wps:wsp>
                            <wps:wsp xmlns:wps="http://schemas.microsoft.com/office/word/2010/wordprocessingShape">
                              <wps:cNvPr id="104" name="Graphic 104"/>
                              <wps:cNvSpPr/>
                              <wps:spPr>
                                <a:xfrm>
                                  <a:off x="15335" y="69742"/>
                                  <a:ext cx="19685" cy="34290"/>
                                </a:xfrm>
                                <a:custGeom>
                                  <a:avLst/>
                                  <a:gdLst/>
                                  <a:rect l="l" t="t" r="r" b="b"/>
                                  <a:pathLst>
                                    <a:path fill="norm" h="34290" w="19685" stroke="1">
                                      <a:moveTo>
                                        <a:pt x="0" y="0"/>
                                      </a:moveTo>
                                      <a:lnTo>
                                        <a:pt x="19126" y="34074"/>
                                      </a:lnTo>
                                    </a:path>
                                  </a:pathLst>
                                </a:custGeom>
                                <a:ln w="8572">
                                  <a:solidFill>
                                    <a:srgbClr val="000000"/>
                                  </a:solidFill>
                                  <a:prstDash val="solid"/>
                                </a:ln>
                              </wps:spPr>
                              <wps:bodyPr wrap="square" lIns="0" tIns="0" rIns="0" bIns="0" rtlCol="0">
                                <a:prstTxWarp prst="textNoShape">
                                  <a:avLst/>
                                </a:prstTxWarp>
                              </wps:bodyPr>
                            </wps:wsp>
                            <wps:wsp xmlns:wps="http://schemas.microsoft.com/office/word/2010/wordprocessingShape">
                              <wps:cNvPr id="105" name="Graphic 105"/>
                              <wps:cNvSpPr/>
                              <wps:spPr>
                                <a:xfrm>
                                  <a:off x="36607" y="2139"/>
                                  <a:ext cx="105410" cy="102235"/>
                                </a:xfrm>
                                <a:custGeom>
                                  <a:avLst/>
                                  <a:gdLst/>
                                  <a:rect l="l" t="t" r="r" b="b"/>
                                  <a:pathLst>
                                    <a:path fill="norm" h="102235" w="105410" stroke="1">
                                      <a:moveTo>
                                        <a:pt x="0" y="101676"/>
                                      </a:moveTo>
                                      <a:lnTo>
                                        <a:pt x="25323" y="0"/>
                                      </a:lnTo>
                                    </a:path>
                                    <a:path fill="norm" h="102235" w="105410" stroke="1">
                                      <a:moveTo>
                                        <a:pt x="25323" y="0"/>
                                      </a:moveTo>
                                      <a:lnTo>
                                        <a:pt x="105028" y="0"/>
                                      </a:lnTo>
                                    </a:path>
                                  </a:pathLst>
                                </a:custGeom>
                                <a:ln w="4279">
                                  <a:solidFill>
                                    <a:srgbClr val="000000"/>
                                  </a:solidFill>
                                  <a:prstDash val="solid"/>
                                </a:ln>
                              </wps:spPr>
                              <wps:bodyPr wrap="square" lIns="0" tIns="0" rIns="0" bIns="0" rtlCol="0">
                                <a:prstTxWarp prst="textNoShape">
                                  <a:avLst/>
                                </a:prstTxWarp>
                              </wps:bodyPr>
                            </wps:wsp>
                          </wpg:wgp>
                        </a:graphicData>
                      </a:graphic>
                    </wp:anchor>
                  </w:drawing>
                </mc:Choice>
                <mc:Fallback>
                  <w:pict>
                    <v:group id="_x0000_s1045" style="width:11.2pt;height:8.55pt;margin-top:1.36pt;margin-left:32.52pt;position:absolute;z-index:-251651072" coordorigin="650,27" coordsize="224,171">
                      <v:line id="_x0000_s1046" style="position:absolute" from="654,145" to="675,134" stroked="t" strokecolor="black" strokeweight="0.34pt">
                        <v:stroke dashstyle="solid"/>
                      </v:line>
                      <v:line id="_x0000_s1047" style="position:absolute" from="675,137" to="705,191" stroked="t" strokecolor="black" strokeweight="0.67pt">
                        <v:stroke dashstyle="solid"/>
                      </v:line>
                      <v:shape id="_x0000_s1048" style="width:166;height:161;left:708;position:absolute;top:30" coordorigin="708,31" coordsize="166,161" path="m708,191l748,31m748,31l874,31e" filled="f" stroked="t" strokecolor="black" strokeweight="0.34pt">
                        <v:stroke dashstyle="solid"/>
                        <v:path arrowok="t"/>
                      </v:shape>
                    </v:group>
                  </w:pict>
                </mc:Fallback>
              </mc:AlternateContent>
            </w:r>
            <w:r>
              <w:rPr>
                <w:position w:val="-3"/>
                <w:sz w:val="16"/>
              </w:rPr>
              <w:t>d</w:t>
            </w:r>
            <w:r>
              <w:rPr>
                <w:position w:val="-3"/>
                <w:sz w:val="16"/>
              </w:rPr>
              <w:t>=</w:t>
            </w:r>
            <w:r>
              <w:rPr>
                <w:sz w:val="15"/>
              </w:rPr>
              <w:t xml:space="preserve">  1,2 </w:t>
            </w:r>
            <w:r>
              <w:rPr>
                <w:i/>
                <w:spacing w:val="-10"/>
                <w:sz w:val="15"/>
              </w:rPr>
              <w:t>P</w:t>
            </w:r>
          </w:p>
          <w:p>
            <w:pPr>
              <w:pStyle w:val="TableParagraph"/>
              <w:tabs>
                <w:tab w:val="left" w:pos="1089"/>
              </w:tabs>
              <w:spacing w:before="72"/>
              <w:ind w:left="108"/>
              <w:rPr>
                <w:sz w:val="18"/>
              </w:rPr>
            </w:pPr>
            <w:r>
              <w:rPr>
                <w:sz w:val="18"/>
              </w:rPr>
              <mc:AlternateContent>
                <mc:Choice Requires="wpg">
                  <w:drawing>
                    <wp:anchor distT="0" distB="0" distL="0" distR="0" simplePos="0" relativeHeight="251666432" behindDoc="1" locked="0" layoutInCell="1" allowOverlap="1">
                      <wp:simplePos x="0" y="0"/>
                      <wp:positionH relativeFrom="column">
                        <wp:posOffset>413048</wp:posOffset>
                      </wp:positionH>
                      <wp:positionV relativeFrom="paragraph">
                        <wp:posOffset>41633</wp:posOffset>
                      </wp:positionV>
                      <wp:extent cx="142240" cy="108585"/>
                      <wp:effectExtent l="0" t="0" r="0" b="0"/>
                      <wp:wrapNone/>
                      <wp:docPr id="106" name="Group 106"/>
                      <wp:cNvGraphicFramePr/>
                      <a:graphic xmlns:a="http://schemas.openxmlformats.org/drawingml/2006/main">
                        <a:graphicData uri="http://schemas.microsoft.com/office/word/2010/wordprocessingGroup">
                          <wpg:wgp xmlns:wpg="http://schemas.microsoft.com/office/word/2010/wordprocessingGroup">
                            <wpg:cNvGrpSpPr/>
                            <wpg:grpSpPr>
                              <a:xfrm>
                                <a:off x="0" y="0"/>
                                <a:ext cx="142240" cy="108585"/>
                                <a:chOff x="0" y="0"/>
                                <a:chExt cx="142240" cy="108585"/>
                              </a:xfrm>
                            </wpg:grpSpPr>
                            <wps:wsp xmlns:wps="http://schemas.microsoft.com/office/word/2010/wordprocessingShape">
                              <wps:cNvPr id="107" name="Graphic 107"/>
                              <wps:cNvSpPr/>
                              <wps:spPr>
                                <a:xfrm>
                                  <a:off x="2139" y="67621"/>
                                  <a:ext cx="13335" cy="7620"/>
                                </a:xfrm>
                                <a:custGeom>
                                  <a:avLst/>
                                  <a:gdLst/>
                                  <a:rect l="l" t="t" r="r" b="b"/>
                                  <a:pathLst>
                                    <a:path fill="norm" h="7620" w="13335" stroke="1">
                                      <a:moveTo>
                                        <a:pt x="0" y="7442"/>
                                      </a:moveTo>
                                      <a:lnTo>
                                        <a:pt x="13195" y="0"/>
                                      </a:lnTo>
                                    </a:path>
                                  </a:pathLst>
                                </a:custGeom>
                                <a:ln w="4279">
                                  <a:solidFill>
                                    <a:srgbClr val="000000"/>
                                  </a:solidFill>
                                  <a:prstDash val="solid"/>
                                </a:ln>
                              </wps:spPr>
                              <wps:bodyPr wrap="square" lIns="0" tIns="0" rIns="0" bIns="0" rtlCol="0">
                                <a:prstTxWarp prst="textNoShape">
                                  <a:avLst/>
                                </a:prstTxWarp>
                              </wps:bodyPr>
                            </wps:wsp>
                            <wps:wsp xmlns:wps="http://schemas.microsoft.com/office/word/2010/wordprocessingShape">
                              <wps:cNvPr id="108" name="Graphic 108"/>
                              <wps:cNvSpPr/>
                              <wps:spPr>
                                <a:xfrm>
                                  <a:off x="15335" y="69742"/>
                                  <a:ext cx="19685" cy="34290"/>
                                </a:xfrm>
                                <a:custGeom>
                                  <a:avLst/>
                                  <a:gdLst/>
                                  <a:rect l="l" t="t" r="r" b="b"/>
                                  <a:pathLst>
                                    <a:path fill="norm" h="34290" w="19685" stroke="1">
                                      <a:moveTo>
                                        <a:pt x="0" y="0"/>
                                      </a:moveTo>
                                      <a:lnTo>
                                        <a:pt x="19126" y="34074"/>
                                      </a:lnTo>
                                    </a:path>
                                  </a:pathLst>
                                </a:custGeom>
                                <a:ln w="8572">
                                  <a:solidFill>
                                    <a:srgbClr val="000000"/>
                                  </a:solidFill>
                                  <a:prstDash val="solid"/>
                                </a:ln>
                              </wps:spPr>
                              <wps:bodyPr wrap="square" lIns="0" tIns="0" rIns="0" bIns="0" rtlCol="0">
                                <a:prstTxWarp prst="textNoShape">
                                  <a:avLst/>
                                </a:prstTxWarp>
                              </wps:bodyPr>
                            </wps:wsp>
                            <wps:wsp xmlns:wps="http://schemas.microsoft.com/office/word/2010/wordprocessingShape">
                              <wps:cNvPr id="109" name="Graphic 109"/>
                              <wps:cNvSpPr/>
                              <wps:spPr>
                                <a:xfrm>
                                  <a:off x="36607" y="2139"/>
                                  <a:ext cx="105410" cy="102235"/>
                                </a:xfrm>
                                <a:custGeom>
                                  <a:avLst/>
                                  <a:gdLst/>
                                  <a:rect l="l" t="t" r="r" b="b"/>
                                  <a:pathLst>
                                    <a:path fill="norm" h="102235" w="105410" stroke="1">
                                      <a:moveTo>
                                        <a:pt x="0" y="101676"/>
                                      </a:moveTo>
                                      <a:lnTo>
                                        <a:pt x="25323" y="0"/>
                                      </a:lnTo>
                                    </a:path>
                                    <a:path fill="norm" h="102235" w="105410" stroke="1">
                                      <a:moveTo>
                                        <a:pt x="25323" y="0"/>
                                      </a:moveTo>
                                      <a:lnTo>
                                        <a:pt x="105028" y="0"/>
                                      </a:lnTo>
                                    </a:path>
                                  </a:pathLst>
                                </a:custGeom>
                                <a:ln w="4279">
                                  <a:solidFill>
                                    <a:srgbClr val="000000"/>
                                  </a:solidFill>
                                  <a:prstDash val="solid"/>
                                </a:ln>
                              </wps:spPr>
                              <wps:bodyPr wrap="square" lIns="0" tIns="0" rIns="0" bIns="0" rtlCol="0">
                                <a:prstTxWarp prst="textNoShape">
                                  <a:avLst/>
                                </a:prstTxWarp>
                              </wps:bodyPr>
                            </wps:wsp>
                          </wpg:wgp>
                        </a:graphicData>
                      </a:graphic>
                    </wp:anchor>
                  </w:drawing>
                </mc:Choice>
                <mc:Fallback>
                  <w:pict>
                    <v:group id="_x0000_s1049" style="width:11.2pt;height:8.55pt;margin-top:3.28pt;margin-left:32.52pt;position:absolute;z-index:-251649024" coordorigin="650,66" coordsize="224,171">
                      <v:line id="_x0000_s1050" style="position:absolute" from="654,184" to="675,172" stroked="t" strokecolor="black" strokeweight="0.34pt">
                        <v:stroke dashstyle="solid"/>
                      </v:line>
                      <v:line id="_x0000_s1051" style="position:absolute" from="675,175" to="705,229" stroked="t" strokecolor="black" strokeweight="0.67pt">
                        <v:stroke dashstyle="solid"/>
                      </v:line>
                      <v:shape id="_x0000_s1052" style="width:166;height:161;left:708;position:absolute;top:68" coordorigin="708,69" coordsize="166,161" path="m708,229l748,69m748,69l874,69e" filled="f" stroked="t" strokecolor="black" strokeweight="0.34pt">
                        <v:stroke dashstyle="solid"/>
                        <v:path arrowok="t"/>
                      </v:shape>
                    </v:group>
                  </w:pict>
                </mc:Fallback>
              </mc:AlternateContent>
            </w:r>
            <w:r>
              <w:rPr>
                <w:sz w:val="16"/>
              </w:rPr>
              <w:t xml:space="preserve">d </w:t>
            </w:r>
            <w:r>
              <w:rPr>
                <w:sz w:val="16"/>
              </w:rPr>
              <w:t>=</w:t>
            </w:r>
            <w:r>
              <w:rPr>
                <w:position w:val="4"/>
                <w:sz w:val="15"/>
              </w:rPr>
              <w:t xml:space="preserve"> 1,2 </w:t>
            </w:r>
            <w:r>
              <w:rPr>
                <w:i/>
                <w:spacing w:val="-10"/>
                <w:position w:val="4"/>
                <w:sz w:val="15"/>
              </w:rPr>
              <w:t>P</w:t>
            </w:r>
            <w:r>
              <w:rPr>
                <w:i/>
                <w:position w:val="4"/>
                <w:sz w:val="15"/>
              </w:rPr>
              <w:tab/>
            </w:r>
            <w:r>
              <w:rPr>
                <w:sz w:val="16"/>
              </w:rPr>
              <w:t xml:space="preserve">80 </w:t>
            </w:r>
            <w:r>
              <w:rPr>
                <w:sz w:val="16"/>
              </w:rPr>
              <w:t xml:space="preserve">MHz </w:t>
            </w:r>
            <w:r>
              <w:rPr>
                <w:sz w:val="16"/>
              </w:rPr>
              <w:t>až</w:t>
            </w:r>
            <w:r>
              <w:rPr>
                <w:sz w:val="16"/>
              </w:rPr>
              <w:t xml:space="preserve"> 800 </w:t>
            </w:r>
            <w:r>
              <w:rPr>
                <w:spacing w:val="-5"/>
                <w:sz w:val="16"/>
              </w:rPr>
              <w:t>MHz</w:t>
            </w:r>
          </w:p>
          <w:p>
            <w:pPr>
              <w:pStyle w:val="TableParagraph"/>
              <w:tabs>
                <w:tab w:val="left" w:pos="1087"/>
              </w:tabs>
              <w:spacing w:before="74"/>
              <w:ind w:left="108"/>
              <w:rPr>
                <w:sz w:val="18"/>
              </w:rPr>
            </w:pPr>
            <w:r>
              <w:rPr>
                <w:sz w:val="18"/>
              </w:rPr>
              <mc:AlternateContent>
                <mc:Choice Requires="wpg">
                  <w:drawing>
                    <wp:anchor distT="0" distB="0" distL="0" distR="0" simplePos="0" relativeHeight="251668480" behindDoc="1" locked="0" layoutInCell="1" allowOverlap="1">
                      <wp:simplePos x="0" y="0"/>
                      <wp:positionH relativeFrom="column">
                        <wp:posOffset>417074</wp:posOffset>
                      </wp:positionH>
                      <wp:positionV relativeFrom="paragraph">
                        <wp:posOffset>43322</wp:posOffset>
                      </wp:positionV>
                      <wp:extent cx="137795" cy="108585"/>
                      <wp:effectExtent l="0" t="0" r="0" b="0"/>
                      <wp:wrapNone/>
                      <wp:docPr id="110" name="Group 110"/>
                      <wp:cNvGraphicFramePr/>
                      <a:graphic xmlns:a="http://schemas.openxmlformats.org/drawingml/2006/main">
                        <a:graphicData uri="http://schemas.microsoft.com/office/word/2010/wordprocessingGroup">
                          <wpg:wgp xmlns:wpg="http://schemas.microsoft.com/office/word/2010/wordprocessingGroup">
                            <wpg:cNvGrpSpPr/>
                            <wpg:grpSpPr>
                              <a:xfrm>
                                <a:off x="0" y="0"/>
                                <a:ext cx="137795" cy="108585"/>
                                <a:chOff x="0" y="0"/>
                                <a:chExt cx="137795" cy="108585"/>
                              </a:xfrm>
                            </wpg:grpSpPr>
                            <wps:wsp xmlns:wps="http://schemas.microsoft.com/office/word/2010/wordprocessingShape">
                              <wps:cNvPr id="111" name="Graphic 111"/>
                              <wps:cNvSpPr/>
                              <wps:spPr>
                                <a:xfrm>
                                  <a:off x="2114" y="67595"/>
                                  <a:ext cx="13335" cy="7620"/>
                                </a:xfrm>
                                <a:custGeom>
                                  <a:avLst/>
                                  <a:gdLst/>
                                  <a:rect l="l" t="t" r="r" b="b"/>
                                  <a:pathLst>
                                    <a:path fill="norm" h="7620" w="13335" stroke="1">
                                      <a:moveTo>
                                        <a:pt x="0" y="7442"/>
                                      </a:moveTo>
                                      <a:lnTo>
                                        <a:pt x="12826" y="0"/>
                                      </a:lnTo>
                                    </a:path>
                                  </a:pathLst>
                                </a:custGeom>
                                <a:ln w="4229">
                                  <a:solidFill>
                                    <a:srgbClr val="000000"/>
                                  </a:solidFill>
                                  <a:prstDash val="solid"/>
                                </a:ln>
                              </wps:spPr>
                              <wps:bodyPr wrap="square" lIns="0" tIns="0" rIns="0" bIns="0" rtlCol="0">
                                <a:prstTxWarp prst="textNoShape">
                                  <a:avLst/>
                                </a:prstTxWarp>
                              </wps:bodyPr>
                            </wps:wsp>
                            <wps:wsp xmlns:wps="http://schemas.microsoft.com/office/word/2010/wordprocessingShape">
                              <wps:cNvPr id="112" name="Graphic 112"/>
                              <wps:cNvSpPr/>
                              <wps:spPr>
                                <a:xfrm>
                                  <a:off x="14941" y="69716"/>
                                  <a:ext cx="19050" cy="34290"/>
                                </a:xfrm>
                                <a:custGeom>
                                  <a:avLst/>
                                  <a:gdLst/>
                                  <a:rect l="l" t="t" r="r" b="b"/>
                                  <a:pathLst>
                                    <a:path fill="norm" h="34290" w="19050" stroke="1">
                                      <a:moveTo>
                                        <a:pt x="0" y="0"/>
                                      </a:moveTo>
                                      <a:lnTo>
                                        <a:pt x="18580" y="34074"/>
                                      </a:lnTo>
                                    </a:path>
                                  </a:pathLst>
                                </a:custGeom>
                                <a:ln w="8445">
                                  <a:solidFill>
                                    <a:srgbClr val="000000"/>
                                  </a:solidFill>
                                  <a:prstDash val="solid"/>
                                </a:ln>
                              </wps:spPr>
                              <wps:bodyPr wrap="square" lIns="0" tIns="0" rIns="0" bIns="0" rtlCol="0">
                                <a:prstTxWarp prst="textNoShape">
                                  <a:avLst/>
                                </a:prstTxWarp>
                              </wps:bodyPr>
                            </wps:wsp>
                            <wps:wsp xmlns:wps="http://schemas.microsoft.com/office/word/2010/wordprocessingShape">
                              <wps:cNvPr id="113" name="Graphic 113"/>
                              <wps:cNvSpPr/>
                              <wps:spPr>
                                <a:xfrm>
                                  <a:off x="35617" y="2114"/>
                                  <a:ext cx="102235" cy="102235"/>
                                </a:xfrm>
                                <a:custGeom>
                                  <a:avLst/>
                                  <a:gdLst/>
                                  <a:rect l="l" t="t" r="r" b="b"/>
                                  <a:pathLst>
                                    <a:path fill="norm" h="102235" w="102235" stroke="1">
                                      <a:moveTo>
                                        <a:pt x="0" y="101676"/>
                                      </a:moveTo>
                                      <a:lnTo>
                                        <a:pt x="24612" y="0"/>
                                      </a:lnTo>
                                    </a:path>
                                    <a:path fill="norm" h="102235" w="102235" stroke="1">
                                      <a:moveTo>
                                        <a:pt x="24612" y="0"/>
                                      </a:moveTo>
                                      <a:lnTo>
                                        <a:pt x="102120" y="0"/>
                                      </a:lnTo>
                                    </a:path>
                                  </a:pathLst>
                                </a:custGeom>
                                <a:ln w="4229">
                                  <a:solidFill>
                                    <a:srgbClr val="000000"/>
                                  </a:solidFill>
                                  <a:prstDash val="solid"/>
                                </a:ln>
                              </wps:spPr>
                              <wps:bodyPr wrap="square" lIns="0" tIns="0" rIns="0" bIns="0" rtlCol="0">
                                <a:prstTxWarp prst="textNoShape">
                                  <a:avLst/>
                                </a:prstTxWarp>
                              </wps:bodyPr>
                            </wps:wsp>
                          </wpg:wgp>
                        </a:graphicData>
                      </a:graphic>
                    </wp:anchor>
                  </w:drawing>
                </mc:Choice>
                <mc:Fallback>
                  <w:pict>
                    <v:group id="_x0000_s1053" style="width:10.85pt;height:8.55pt;margin-top:3.41pt;margin-left:32.84pt;position:absolute;z-index:-251646976" coordorigin="657,68" coordsize="217,171">
                      <v:line id="_x0000_s1054" style="position:absolute" from="660,186" to="680,175" stroked="t" strokecolor="black" strokeweight="0.33pt">
                        <v:stroke dashstyle="solid"/>
                      </v:line>
                      <v:line id="_x0000_s1055" style="position:absolute" from="680,178" to="710,232" stroked="t" strokecolor="black" strokeweight="0.67pt">
                        <v:stroke dashstyle="solid"/>
                      </v:line>
                      <v:shape id="_x0000_s1056" style="width:161;height:161;left:712;position:absolute;top:71" coordorigin="713,72" coordsize="161,161" path="m713,232l752,72m752,72l874,72e" filled="f" stroked="t" strokecolor="black" strokeweight="0.33pt">
                        <v:stroke dashstyle="solid"/>
                        <v:path arrowok="t"/>
                      </v:shape>
                    </v:group>
                  </w:pict>
                </mc:Fallback>
              </mc:AlternateContent>
            </w:r>
            <w:r>
              <w:rPr>
                <w:sz w:val="16"/>
              </w:rPr>
              <w:t xml:space="preserve">d </w:t>
            </w:r>
            <w:r>
              <w:rPr>
                <w:sz w:val="16"/>
              </w:rPr>
              <w:t>=</w:t>
            </w:r>
            <w:r>
              <w:rPr>
                <w:position w:val="4"/>
                <w:sz w:val="15"/>
              </w:rPr>
              <w:t xml:space="preserve"> 2,3 </w:t>
            </w:r>
            <w:r>
              <w:rPr>
                <w:i/>
                <w:spacing w:val="-12"/>
                <w:position w:val="4"/>
                <w:sz w:val="15"/>
              </w:rPr>
              <w:t>P</w:t>
            </w:r>
            <w:r>
              <w:rPr>
                <w:i/>
                <w:position w:val="4"/>
                <w:sz w:val="15"/>
              </w:rPr>
              <w:tab/>
            </w:r>
            <w:r>
              <w:rPr>
                <w:sz w:val="16"/>
              </w:rPr>
              <w:t xml:space="preserve">800 MHz </w:t>
            </w:r>
            <w:r>
              <w:rPr>
                <w:sz w:val="16"/>
              </w:rPr>
              <w:t>až</w:t>
            </w:r>
            <w:r>
              <w:rPr>
                <w:sz w:val="16"/>
              </w:rPr>
              <w:t xml:space="preserve"> 2,5 </w:t>
            </w:r>
            <w:r>
              <w:rPr>
                <w:spacing w:val="-5"/>
                <w:sz w:val="16"/>
              </w:rPr>
              <w:t>GHz</w:t>
            </w:r>
          </w:p>
          <w:p>
            <w:pPr>
              <w:pStyle w:val="TableParagraph"/>
              <w:spacing w:before="96" w:line="278" w:lineRule="auto"/>
              <w:ind w:left="108" w:right="360"/>
              <w:jc w:val="both"/>
              <w:rPr>
                <w:sz w:val="18"/>
              </w:rPr>
            </w:pPr>
            <w:r>
              <w:rPr>
                <w:sz w:val="16"/>
              </w:rPr>
              <w:t xml:space="preserve">Kde P je vypočítáno na základě maximálního jmenovitého výstupního výkonu vysílače </w:t>
            </w:r>
            <w:r>
              <w:rPr>
                <w:sz w:val="16"/>
              </w:rPr>
              <w:t xml:space="preserve">ve </w:t>
            </w:r>
            <w:r>
              <w:rPr>
                <w:sz w:val="16"/>
              </w:rPr>
              <w:t xml:space="preserve">wattech </w:t>
            </w:r>
            <w:r>
              <w:rPr>
                <w:sz w:val="16"/>
              </w:rPr>
              <w:t xml:space="preserve">(W) </w:t>
            </w:r>
            <w:r>
              <w:rPr>
                <w:sz w:val="16"/>
              </w:rPr>
              <w:t xml:space="preserve">a </w:t>
            </w:r>
            <w:r>
              <w:rPr>
                <w:sz w:val="16"/>
              </w:rPr>
              <w:t xml:space="preserve">d </w:t>
            </w:r>
            <w:r>
              <w:rPr>
                <w:sz w:val="16"/>
              </w:rPr>
              <w:t xml:space="preserve">je </w:t>
            </w:r>
            <w:r>
              <w:rPr>
                <w:sz w:val="16"/>
              </w:rPr>
              <w:t xml:space="preserve">doporučená </w:t>
            </w:r>
            <w:r>
              <w:rPr>
                <w:sz w:val="16"/>
              </w:rPr>
              <w:t xml:space="preserve">vzdálenost </w:t>
            </w:r>
            <w:r>
              <w:rPr>
                <w:sz w:val="16"/>
              </w:rPr>
              <w:t>v metrech (m).</w:t>
            </w:r>
          </w:p>
          <w:p>
            <w:pPr>
              <w:pStyle w:val="TableParagraph"/>
              <w:spacing w:before="29" w:line="240" w:lineRule="atLeast"/>
              <w:ind w:left="108" w:right="160"/>
              <w:rPr>
                <w:sz w:val="18"/>
              </w:rPr>
            </w:pPr>
            <w:r>
              <w:rPr>
                <w:sz w:val="16"/>
              </w:rPr>
              <w:t xml:space="preserve">Intenzita pole z pevných vysokofrekvenčních vysílačů, stanovená na základě elektromagnetického </w:t>
            </w:r>
            <w:r>
              <w:rPr>
                <w:sz w:val="16"/>
              </w:rPr>
              <w:t xml:space="preserve">průzkumu </w:t>
            </w:r>
            <w:r>
              <w:rPr>
                <w:sz w:val="16"/>
              </w:rPr>
              <w:t xml:space="preserve">lokality </w:t>
            </w:r>
            <w:r>
              <w:rPr>
                <w:sz w:val="16"/>
              </w:rPr>
              <w:t xml:space="preserve">a, </w:t>
            </w:r>
            <w:r>
              <w:rPr>
                <w:sz w:val="16"/>
              </w:rPr>
              <w:t xml:space="preserve">b, </w:t>
            </w:r>
            <w:r>
              <w:rPr>
                <w:sz w:val="16"/>
              </w:rPr>
              <w:t>by měla být nižší než úroveň shody v každém frekvenčním rozsahu.</w:t>
            </w:r>
          </w:p>
        </w:tc>
      </w:tr>
      <w:tr>
        <w:tblPrEx>
          <w:tblW w:w="0" w:type="auto"/>
          <w:tblInd w:w="242" w:type="dxa"/>
          <w:tblLayout w:type="fixed"/>
          <w:tblLook w:val="01E0"/>
        </w:tblPrEx>
        <w:trPr>
          <w:trHeight w:val="776"/>
        </w:trPr>
        <w:tc>
          <w:tcPr>
            <w:tcW w:w="1467" w:type="dxa"/>
            <w:tcBorders>
              <w:top w:val="nil"/>
              <w:bottom w:val="nil"/>
            </w:tcBorders>
          </w:tcPr>
          <w:p>
            <w:pPr>
              <w:pStyle w:val="TableParagraph"/>
              <w:rPr>
                <w:sz w:val="16"/>
              </w:rPr>
            </w:pPr>
          </w:p>
        </w:tc>
        <w:tc>
          <w:tcPr>
            <w:tcW w:w="1275" w:type="dxa"/>
            <w:tcBorders>
              <w:top w:val="nil"/>
              <w:bottom w:val="nil"/>
            </w:tcBorders>
          </w:tcPr>
          <w:p>
            <w:pPr>
              <w:pStyle w:val="TableParagraph"/>
              <w:rPr>
                <w:sz w:val="16"/>
              </w:rPr>
            </w:pPr>
          </w:p>
        </w:tc>
        <w:tc>
          <w:tcPr>
            <w:tcW w:w="1201" w:type="dxa"/>
            <w:tcBorders>
              <w:top w:val="nil"/>
              <w:bottom w:val="nil"/>
            </w:tcBorders>
          </w:tcPr>
          <w:p>
            <w:pPr>
              <w:pStyle w:val="TableParagraph"/>
              <w:rPr>
                <w:sz w:val="16"/>
              </w:rPr>
            </w:pPr>
          </w:p>
        </w:tc>
        <w:tc>
          <w:tcPr>
            <w:tcW w:w="3122" w:type="dxa"/>
            <w:tcBorders>
              <w:top w:val="nil"/>
              <w:bottom w:val="nil"/>
            </w:tcBorders>
          </w:tcPr>
          <w:p>
            <w:pPr>
              <w:pStyle w:val="TableParagraph"/>
              <w:spacing w:before="9" w:line="240" w:lineRule="atLeast"/>
              <w:ind w:left="108" w:right="160"/>
              <w:rPr>
                <w:sz w:val="18"/>
              </w:rPr>
            </w:pPr>
            <w:r>
              <w:rPr>
                <w:sz w:val="16"/>
              </w:rPr>
              <w:t>K rušení může dojít, pokud je detektor používán v blízkosti zařízení označen</w:t>
            </w:r>
            <w:r>
              <w:rPr>
                <w:sz w:val="16"/>
              </w:rPr>
              <w:t xml:space="preserve">ých </w:t>
            </w:r>
            <w:r>
              <w:rPr>
                <w:sz w:val="16"/>
              </w:rPr>
              <w:t xml:space="preserve">následujícím </w:t>
            </w:r>
            <w:r>
              <w:rPr>
                <w:sz w:val="16"/>
              </w:rPr>
              <w:t>symbolem.</w:t>
            </w:r>
          </w:p>
        </w:tc>
      </w:tr>
      <w:tr>
        <w:tblPrEx>
          <w:tblW w:w="0" w:type="auto"/>
          <w:tblInd w:w="242" w:type="dxa"/>
          <w:tblLayout w:type="fixed"/>
          <w:tblLook w:val="01E0"/>
        </w:tblPrEx>
        <w:trPr>
          <w:trHeight w:val="628"/>
        </w:trPr>
        <w:tc>
          <w:tcPr>
            <w:tcW w:w="1467" w:type="dxa"/>
            <w:tcBorders>
              <w:top w:val="nil"/>
            </w:tcBorders>
          </w:tcPr>
          <w:p>
            <w:pPr>
              <w:pStyle w:val="TableParagraph"/>
              <w:rPr>
                <w:sz w:val="16"/>
              </w:rPr>
            </w:pPr>
          </w:p>
        </w:tc>
        <w:tc>
          <w:tcPr>
            <w:tcW w:w="1275" w:type="dxa"/>
            <w:tcBorders>
              <w:top w:val="nil"/>
            </w:tcBorders>
          </w:tcPr>
          <w:p>
            <w:pPr>
              <w:pStyle w:val="TableParagraph"/>
              <w:rPr>
                <w:sz w:val="16"/>
              </w:rPr>
            </w:pPr>
          </w:p>
        </w:tc>
        <w:tc>
          <w:tcPr>
            <w:tcW w:w="1201" w:type="dxa"/>
            <w:tcBorders>
              <w:top w:val="nil"/>
            </w:tcBorders>
          </w:tcPr>
          <w:p>
            <w:pPr>
              <w:pStyle w:val="TableParagraph"/>
              <w:rPr>
                <w:sz w:val="16"/>
              </w:rPr>
            </w:pPr>
          </w:p>
        </w:tc>
        <w:tc>
          <w:tcPr>
            <w:tcW w:w="3122" w:type="dxa"/>
            <w:tcBorders>
              <w:top w:val="nil"/>
            </w:tcBorders>
          </w:tcPr>
          <w:p>
            <w:pPr>
              <w:pStyle w:val="TableParagraph"/>
              <w:spacing w:before="1"/>
              <w:rPr>
                <w:sz w:val="4"/>
              </w:rPr>
            </w:pPr>
          </w:p>
          <w:p>
            <w:pPr>
              <w:pStyle w:val="TableParagraph"/>
              <w:ind w:left="108"/>
              <w:rPr>
                <w:sz w:val="20"/>
              </w:rPr>
            </w:pPr>
            <w:r>
              <w:rPr>
                <w:sz w:val="20"/>
              </w:rPr>
              <w:drawing>
                <wp:inline distT="0" distB="0" distL="0" distR="0">
                  <wp:extent cx="275735" cy="290512"/>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xmlns:r="http://schemas.openxmlformats.org/officeDocument/2006/relationships" r:embed="rId86" cstate="print"/>
                          <a:stretch>
                            <a:fillRect/>
                          </a:stretch>
                        </pic:blipFill>
                        <pic:spPr>
                          <a:xfrm>
                            <a:off x="0" y="0"/>
                            <a:ext cx="275735" cy="290512"/>
                          </a:xfrm>
                          <a:prstGeom prst="rect">
                            <a:avLst/>
                          </a:prstGeom>
                        </pic:spPr>
                      </pic:pic>
                    </a:graphicData>
                  </a:graphic>
                </wp:inline>
              </w:drawing>
            </w:r>
          </w:p>
        </w:tc>
      </w:tr>
      <w:tr>
        <w:tblPrEx>
          <w:tblW w:w="0" w:type="auto"/>
          <w:tblInd w:w="242" w:type="dxa"/>
          <w:tblLayout w:type="fixed"/>
          <w:tblLook w:val="01E0"/>
        </w:tblPrEx>
        <w:trPr>
          <w:trHeight w:val="1144"/>
        </w:trPr>
        <w:tc>
          <w:tcPr>
            <w:tcW w:w="7065" w:type="dxa"/>
            <w:gridSpan w:val="4"/>
          </w:tcPr>
          <w:p>
            <w:pPr>
              <w:pStyle w:val="TableParagraph"/>
              <w:spacing w:before="86" w:line="278" w:lineRule="auto"/>
              <w:ind w:left="108"/>
              <w:rPr>
                <w:sz w:val="18"/>
              </w:rPr>
            </w:pPr>
            <w:r>
              <w:rPr>
                <w:sz w:val="16"/>
              </w:rPr>
              <w:t>Poznámka 1: Vzorec pro vyšší frekvenční rozsah se používá pro frekvence mezi 80 MHz a</w:t>
            </w:r>
            <w:r>
              <w:rPr>
                <w:spacing w:val="-2"/>
                <w:sz w:val="16"/>
              </w:rPr>
              <w:t xml:space="preserve"> 800 MHz.</w:t>
            </w:r>
          </w:p>
          <w:p>
            <w:pPr>
              <w:pStyle w:val="TableParagraph"/>
              <w:spacing w:before="62" w:line="278" w:lineRule="auto"/>
              <w:ind w:left="108"/>
              <w:rPr>
                <w:sz w:val="18"/>
              </w:rPr>
            </w:pPr>
            <w:r>
              <w:rPr>
                <w:sz w:val="16"/>
              </w:rPr>
              <w:t>Poznámka</w:t>
            </w:r>
            <w:r>
              <w:rPr>
                <w:sz w:val="16"/>
              </w:rPr>
              <w:t xml:space="preserve"> 2: </w:t>
            </w:r>
            <w:r>
              <w:rPr>
                <w:sz w:val="16"/>
              </w:rPr>
              <w:t xml:space="preserve">Tyto </w:t>
            </w:r>
            <w:r>
              <w:rPr>
                <w:sz w:val="16"/>
              </w:rPr>
              <w:t xml:space="preserve">pokyny </w:t>
            </w:r>
            <w:r>
              <w:rPr>
                <w:sz w:val="16"/>
              </w:rPr>
              <w:t xml:space="preserve">nemusí </w:t>
            </w:r>
            <w:r>
              <w:rPr>
                <w:sz w:val="16"/>
              </w:rPr>
              <w:t xml:space="preserve">být </w:t>
            </w:r>
            <w:r>
              <w:rPr>
                <w:sz w:val="16"/>
              </w:rPr>
              <w:t xml:space="preserve">vhodné </w:t>
            </w:r>
            <w:r>
              <w:rPr>
                <w:sz w:val="16"/>
              </w:rPr>
              <w:t xml:space="preserve">pro </w:t>
            </w:r>
            <w:r>
              <w:rPr>
                <w:sz w:val="16"/>
              </w:rPr>
              <w:t xml:space="preserve">všechny </w:t>
            </w:r>
            <w:r>
              <w:rPr>
                <w:sz w:val="16"/>
              </w:rPr>
              <w:t xml:space="preserve">situace, </w:t>
            </w:r>
            <w:r>
              <w:rPr>
                <w:sz w:val="16"/>
              </w:rPr>
              <w:t xml:space="preserve">protože </w:t>
            </w:r>
            <w:r>
              <w:rPr>
                <w:sz w:val="16"/>
              </w:rPr>
              <w:t xml:space="preserve">šíření elektromagnetického </w:t>
            </w:r>
            <w:r>
              <w:rPr>
                <w:sz w:val="16"/>
              </w:rPr>
              <w:t xml:space="preserve">pole </w:t>
            </w:r>
            <w:r>
              <w:rPr>
                <w:sz w:val="16"/>
              </w:rPr>
              <w:t>je ovlivněno absorpcí a odrazem budov, předmětů a lidského těla.</w:t>
            </w:r>
          </w:p>
        </w:tc>
      </w:tr>
    </w:tbl>
    <w:p>
      <w:pPr>
        <w:pStyle w:val="TableParagraph"/>
        <w:spacing w:after="0" w:line="278" w:lineRule="auto"/>
        <w:rPr>
          <w:sz w:val="18"/>
        </w:rPr>
        <w:sectPr>
          <w:type w:val="continuous"/>
          <w:pgSz w:w="8390" w:h="11910"/>
          <w:pgMar w:top="700" w:right="425" w:bottom="540" w:left="425" w:header="0" w:footer="342"/>
          <w:cols w:space="708"/>
        </w:sectPr>
      </w:pPr>
    </w:p>
    <w:p>
      <w:pPr>
        <w:spacing w:line="240" w:lineRule="auto"/>
        <w:ind w:left="232" w:right="0" w:firstLine="0"/>
        <w:rPr>
          <w:sz w:val="20"/>
        </w:rPr>
      </w:pPr>
      <w:r>
        <w:rPr>
          <w:sz w:val="20"/>
        </w:rPr>
        <mc:AlternateContent>
          <mc:Choice Requires="wps">
            <w:drawing>
              <wp:inline distT="0" distB="0" distL="0" distR="0">
                <wp:extent cx="4486275" cy="1648460"/>
                <wp:effectExtent l="9525" t="0" r="0" b="8889"/>
                <wp:docPr id="115" name="Textbox 115"/>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6275" cy="1648460"/>
                        </a:xfrm>
                        <a:prstGeom prst="rect">
                          <a:avLst/>
                        </a:prstGeom>
                        <a:ln w="6096">
                          <a:solidFill>
                            <a:srgbClr val="000000"/>
                          </a:solidFill>
                          <a:prstDash val="solid"/>
                        </a:ln>
                      </wps:spPr>
                      <wps:txbx>
                        <w:txbxContent>
                          <w:p>
                            <w:pPr>
                              <w:pStyle w:val="BodyText"/>
                              <w:spacing w:before="87" w:line="278" w:lineRule="auto"/>
                              <w:ind w:left="103" w:right="100"/>
                              <w:jc w:val="both"/>
                            </w:pPr>
                            <w:r>
                              <w:rPr>
                                <w:sz w:val="16"/>
                              </w:rPr>
                              <w:t xml:space="preserve">a Pevná intenzita pole vysílače, jako jsou bezdrátové (mobilní/bezdrátové) telefony a pozemní mobilní rádia, amatérská rádia, rozhlasové vysílání AM a FM a televizní vysílání, nelze teoreticky přesně předpovědět. Pro posouzení elektromagnetického prostředí způsobeného pevnými vysílači RF je třeba zvážit provedení elektromagnetického průzkumu lokality. Pokud naměřená intenzita pole v místě, kde se používá injekční pumpa HK-400III, překračuje výše uvedenou příslušnou úroveň shody s RF, je třeba injekční pumpu HK-400III sledovat, aby se ověřil její normální provoz. Pokud je zaznamenán abnormální výkon, mohou být nezbytná další opatření, </w:t>
                            </w:r>
                            <w:r>
                              <w:rPr>
                                <w:sz w:val="16"/>
                              </w:rPr>
                              <w:t>jako je změna orientace nebo přemístění injekční pumpy HK-400III.</w:t>
                            </w:r>
                          </w:p>
                          <w:p>
                            <w:pPr>
                              <w:pStyle w:val="BodyText"/>
                              <w:spacing w:before="59" w:line="278" w:lineRule="auto"/>
                              <w:ind w:left="103" w:right="101"/>
                              <w:jc w:val="both"/>
                            </w:pPr>
                            <w:r>
                              <w:rPr>
                                <w:sz w:val="16"/>
                              </w:rPr>
                              <w:t xml:space="preserve">b Pro celý frekvenční rozsah od 150 kHz do 80 MHz by intenzita pole měla být nižší než 3 </w:t>
                            </w:r>
                            <w:r>
                              <w:rPr>
                                <w:spacing w:val="-4"/>
                                <w:sz w:val="16"/>
                              </w:rPr>
                              <w:t>V/m.</w:t>
                            </w:r>
                          </w:p>
                        </w:txbxContent>
                      </wps:txbx>
                      <wps:bodyPr wrap="square" lIns="0" tIns="0" rIns="0" bIns="0" rtlCol="0"/>
                    </wps:wsp>
                  </a:graphicData>
                </a:graphic>
              </wp:inline>
            </w:drawing>
          </mc:Choice>
          <mc:Fallback>
            <w:pict>
              <v:shape id="_x0000_i1057" type="#_x0000_t202" style="width:353.25pt;height:129.8pt;mso-position-horizontal-relative:char;mso-position-vertical-relative:line" filled="f" stroked="t" strokecolor="black" strokeweight="0.48pt">
                <v:stroke dashstyle="solid"/>
                <v:textbox inset="0,0,0,0">
                  <w:txbxContent>
                    <w:p>
                      <w:pPr>
                        <w:pStyle w:val="BodyText"/>
                        <w:spacing w:before="87" w:line="278" w:lineRule="auto"/>
                        <w:ind w:left="103" w:right="100"/>
                        <w:jc w:val="both"/>
                      </w:pPr>
                      <w:r>
                        <w:t xml:space="preserve">a Pevná intenzita pole vysílače, jako jsou bezdrátové (mobilní/bezdrátové) telefony a pozemní mobilní rádia, amatérská rádia, rozhlasové vysílání AM a FM a televizní vysílání, nelze teoreticky přesně předpovědět. Pro posouzení elektromagnetického prostředí způsobeného pevnými vysílači RF je třeba zvážit provedení elektromagnetického průzkumu lokality. Pokud naměřená intenzita pole v místě, kde se používá injekční pumpa HK-400III, překračuje výše uvedenou příslušnou úroveň shody s RF, je třeba injekční pumpu HK-400III sledovat, aby se ověřil její normální provoz. Pokud je zaznamenán abnormální výkon, mohou být nezbytná další opatření, </w:t>
                      </w:r>
                      <w:r>
                        <w:t>jako je změna orientace nebo přemístění injekční pumpy HK-400III.</w:t>
                      </w:r>
                    </w:p>
                    <w:p>
                      <w:pPr>
                        <w:pStyle w:val="BodyText"/>
                        <w:spacing w:before="59" w:line="278" w:lineRule="auto"/>
                        <w:ind w:left="103" w:right="101"/>
                        <w:jc w:val="both"/>
                      </w:pPr>
                      <w:r>
                        <w:t xml:space="preserve">b Pro celý frekvenční rozsah od 150 kHz do 80 MHz by intenzita pole měla být nižší než 3 </w:t>
                      </w:r>
                      <w:r>
                        <w:rPr>
                          <w:spacing w:val="-4"/>
                        </w:rPr>
                        <w:t>V/m.</w:t>
                      </w:r>
                    </w:p>
                  </w:txbxContent>
                </v:textbox>
                <w10:anchorlock/>
              </v:shape>
            </w:pict>
          </mc:Fallback>
        </mc:AlternateContent>
      </w:r>
    </w:p>
    <w:p>
      <w:pPr>
        <w:pStyle w:val="BodyText"/>
        <w:spacing w:before="45"/>
        <w:ind w:left="0"/>
        <w:rPr>
          <w:sz w:val="20"/>
        </w:rPr>
      </w:pPr>
    </w:p>
    <w:tbl>
      <w:tblPr>
        <w:tblStyle w:val="TableNormal"/>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3"/>
        <w:gridCol w:w="1754"/>
        <w:gridCol w:w="1947"/>
        <w:gridCol w:w="1803"/>
      </w:tblGrid>
      <w:tr>
        <w:tblPrEx>
          <w:tblW w:w="0" w:type="auto"/>
          <w:tblInd w:w="236" w:type="dxa"/>
          <w:tblLayout w:type="fixed"/>
          <w:tblLook w:val="01E0"/>
        </w:tblPrEx>
        <w:trPr>
          <w:trHeight w:val="649"/>
        </w:trPr>
        <w:tc>
          <w:tcPr>
            <w:tcW w:w="7077" w:type="dxa"/>
            <w:gridSpan w:val="4"/>
          </w:tcPr>
          <w:p>
            <w:pPr>
              <w:pStyle w:val="TableParagraph"/>
              <w:spacing w:before="109" w:line="278" w:lineRule="auto"/>
              <w:ind w:left="106" w:right="8"/>
              <w:rPr>
                <w:sz w:val="18"/>
              </w:rPr>
            </w:pPr>
            <w:r>
              <w:rPr>
                <w:sz w:val="16"/>
              </w:rPr>
              <w:t>Doporučené vzdálenosti mezi přenosnými a mobilními RF komunikačními zařízeními a injekční pumpou HK-400III</w:t>
            </w:r>
          </w:p>
        </w:tc>
      </w:tr>
      <w:tr>
        <w:tblPrEx>
          <w:tblW w:w="0" w:type="auto"/>
          <w:tblInd w:w="236" w:type="dxa"/>
          <w:tblLayout w:type="fixed"/>
          <w:tblLook w:val="01E0"/>
        </w:tblPrEx>
        <w:trPr>
          <w:trHeight w:val="1323"/>
        </w:trPr>
        <w:tc>
          <w:tcPr>
            <w:tcW w:w="7077" w:type="dxa"/>
            <w:gridSpan w:val="4"/>
          </w:tcPr>
          <w:p>
            <w:pPr>
              <w:pStyle w:val="TableParagraph"/>
              <w:spacing w:before="86" w:line="278" w:lineRule="auto"/>
              <w:ind w:left="106" w:right="95"/>
              <w:jc w:val="both"/>
              <w:rPr>
                <w:sz w:val="18"/>
              </w:rPr>
            </w:pPr>
            <w:r>
              <w:rPr>
                <w:sz w:val="16"/>
              </w:rPr>
              <w:t xml:space="preserve">Injekční pumpa HK-400III je určena pro použití v elektromagnetickém prostředí, kde jsou vyzařované vysokofrekvenční rušení kontrolovány. </w:t>
            </w:r>
            <w:r>
              <w:rPr>
                <w:sz w:val="16"/>
              </w:rPr>
              <w:t xml:space="preserve">Kupující nebo uživatel injekční pumpy HK-400III může zabránit </w:t>
            </w:r>
            <w:r>
              <w:rPr>
                <w:sz w:val="16"/>
              </w:rPr>
              <w:t xml:space="preserve">elektromagnetickému </w:t>
            </w:r>
            <w:r>
              <w:rPr>
                <w:sz w:val="16"/>
              </w:rPr>
              <w:t xml:space="preserve">rušení </w:t>
            </w:r>
            <w:r>
              <w:rPr>
                <w:sz w:val="16"/>
              </w:rPr>
              <w:t xml:space="preserve">dodržováním </w:t>
            </w:r>
            <w:r>
              <w:rPr>
                <w:sz w:val="16"/>
              </w:rPr>
              <w:t xml:space="preserve">minimální </w:t>
            </w:r>
            <w:r>
              <w:rPr>
                <w:sz w:val="16"/>
              </w:rPr>
              <w:t xml:space="preserve">vzdálenosti </w:t>
            </w:r>
            <w:r>
              <w:rPr>
                <w:sz w:val="16"/>
              </w:rPr>
              <w:t xml:space="preserve">mezi </w:t>
            </w:r>
            <w:r>
              <w:rPr>
                <w:sz w:val="16"/>
              </w:rPr>
              <w:t xml:space="preserve">přenosnými a mobilními vysokofrekvenčními komunikačními zařízeními (vysílači) a injekční pumpou HK-400III, jak </w:t>
            </w:r>
            <w:r>
              <w:rPr>
                <w:spacing w:val="-2"/>
                <w:sz w:val="16"/>
              </w:rPr>
              <w:t>je doporučeno.</w:t>
            </w:r>
          </w:p>
        </w:tc>
      </w:tr>
      <w:tr>
        <w:tblPrEx>
          <w:tblW w:w="0" w:type="auto"/>
          <w:tblInd w:w="236" w:type="dxa"/>
          <w:tblLayout w:type="fixed"/>
          <w:tblLook w:val="01E0"/>
        </w:tblPrEx>
        <w:trPr>
          <w:trHeight w:val="603"/>
        </w:trPr>
        <w:tc>
          <w:tcPr>
            <w:tcW w:w="1573" w:type="dxa"/>
            <w:vMerge w:val="restart"/>
          </w:tcPr>
          <w:p>
            <w:pPr>
              <w:pStyle w:val="TableParagraph"/>
              <w:spacing w:before="97"/>
              <w:rPr>
                <w:sz w:val="18"/>
              </w:rPr>
            </w:pPr>
          </w:p>
          <w:p>
            <w:pPr>
              <w:pStyle w:val="TableParagraph"/>
              <w:spacing w:before="1" w:line="278" w:lineRule="auto"/>
              <w:ind w:left="152" w:right="144" w:firstLine="55"/>
              <w:jc w:val="both"/>
              <w:rPr>
                <w:sz w:val="18"/>
              </w:rPr>
            </w:pPr>
            <w:r>
              <w:rPr>
                <w:sz w:val="16"/>
              </w:rPr>
              <w:t>Maximální jmenovitý výstupní výkon vysílače</w:t>
            </w:r>
            <w:r>
              <w:rPr>
                <w:spacing w:val="-2"/>
                <w:sz w:val="16"/>
              </w:rPr>
              <w:t>/W</w:t>
            </w:r>
          </w:p>
        </w:tc>
        <w:tc>
          <w:tcPr>
            <w:tcW w:w="5504" w:type="dxa"/>
            <w:gridSpan w:val="3"/>
          </w:tcPr>
          <w:p>
            <w:pPr>
              <w:pStyle w:val="TableParagraph"/>
              <w:spacing w:before="86" w:line="278" w:lineRule="auto"/>
              <w:ind w:left="2265" w:right="410" w:hanging="1844"/>
              <w:rPr>
                <w:sz w:val="18"/>
              </w:rPr>
            </w:pPr>
            <w:r>
              <w:rPr>
                <w:sz w:val="16"/>
              </w:rPr>
              <w:t xml:space="preserve">Vzdálenost </w:t>
            </w:r>
            <w:r>
              <w:rPr>
                <w:sz w:val="16"/>
              </w:rPr>
              <w:t>odpovíd</w:t>
            </w:r>
            <w:r>
              <w:rPr>
                <w:sz w:val="16"/>
              </w:rPr>
              <w:t xml:space="preserve">ající </w:t>
            </w:r>
            <w:r>
              <w:rPr>
                <w:sz w:val="16"/>
              </w:rPr>
              <w:t xml:space="preserve">různým </w:t>
            </w:r>
            <w:r>
              <w:rPr>
                <w:sz w:val="16"/>
              </w:rPr>
              <w:t xml:space="preserve">frekvencím </w:t>
            </w:r>
            <w:r>
              <w:rPr>
                <w:spacing w:val="-2"/>
                <w:sz w:val="16"/>
              </w:rPr>
              <w:t>vysílače/m</w:t>
            </w:r>
          </w:p>
        </w:tc>
      </w:tr>
      <w:tr>
        <w:tblPrEx>
          <w:tblW w:w="0" w:type="auto"/>
          <w:tblInd w:w="236" w:type="dxa"/>
          <w:tblLayout w:type="fixed"/>
          <w:tblLook w:val="01E0"/>
        </w:tblPrEx>
        <w:trPr>
          <w:trHeight w:val="666"/>
        </w:trPr>
        <w:tc>
          <w:tcPr>
            <w:tcW w:w="1573" w:type="dxa"/>
            <w:vMerge/>
            <w:tcBorders>
              <w:top w:val="nil"/>
            </w:tcBorders>
          </w:tcPr>
          <w:p>
            <w:pPr>
              <w:rPr>
                <w:sz w:val="2"/>
                <w:szCs w:val="2"/>
              </w:rPr>
            </w:pPr>
          </w:p>
        </w:tc>
        <w:tc>
          <w:tcPr>
            <w:tcW w:w="1754" w:type="dxa"/>
          </w:tcPr>
          <w:p>
            <w:pPr>
              <w:pStyle w:val="TableParagraph"/>
              <w:spacing w:line="259" w:lineRule="auto"/>
              <w:ind w:left="482" w:right="125" w:hanging="300"/>
              <w:rPr>
                <w:i/>
                <w:sz w:val="15"/>
              </w:rPr>
            </w:pPr>
            <w:r>
              <w:rPr>
                <w:i/>
                <w:sz w:val="15"/>
              </w:rPr>
              <mc:AlternateContent>
                <mc:Choice Requires="wpg">
                  <w:drawing>
                    <wp:anchor distT="0" distB="0" distL="0" distR="0" simplePos="0" relativeHeight="251670528" behindDoc="1" locked="0" layoutInCell="1" allowOverlap="1">
                      <wp:simplePos x="0" y="0"/>
                      <wp:positionH relativeFrom="column">
                        <wp:posOffset>646499</wp:posOffset>
                      </wp:positionH>
                      <wp:positionV relativeFrom="paragraph">
                        <wp:posOffset>273614</wp:posOffset>
                      </wp:positionV>
                      <wp:extent cx="137795" cy="104775"/>
                      <wp:effectExtent l="0" t="0" r="0" b="0"/>
                      <wp:wrapNone/>
                      <wp:docPr id="116" name="Group 116"/>
                      <wp:cNvGraphicFramePr/>
                      <a:graphic xmlns:a="http://schemas.openxmlformats.org/drawingml/2006/main">
                        <a:graphicData uri="http://schemas.microsoft.com/office/word/2010/wordprocessingGroup">
                          <wpg:wgp xmlns:wpg="http://schemas.microsoft.com/office/word/2010/wordprocessingGroup">
                            <wpg:cNvGrpSpPr/>
                            <wpg:grpSpPr>
                              <a:xfrm>
                                <a:off x="0" y="0"/>
                                <a:ext cx="137795" cy="104775"/>
                                <a:chOff x="0" y="0"/>
                                <a:chExt cx="137795" cy="104775"/>
                              </a:xfrm>
                            </wpg:grpSpPr>
                            <wps:wsp xmlns:wps="http://schemas.microsoft.com/office/word/2010/wordprocessingShape">
                              <wps:cNvPr id="117" name="Graphic 117"/>
                              <wps:cNvSpPr/>
                              <wps:spPr>
                                <a:xfrm>
                                  <a:off x="2076" y="65525"/>
                                  <a:ext cx="13335" cy="7620"/>
                                </a:xfrm>
                                <a:custGeom>
                                  <a:avLst/>
                                  <a:gdLst/>
                                  <a:rect l="l" t="t" r="r" b="b"/>
                                  <a:pathLst>
                                    <a:path fill="norm" h="7620" w="13335" stroke="1">
                                      <a:moveTo>
                                        <a:pt x="0" y="7226"/>
                                      </a:moveTo>
                                      <a:lnTo>
                                        <a:pt x="12814" y="0"/>
                                      </a:lnTo>
                                    </a:path>
                                  </a:pathLst>
                                </a:custGeom>
                                <a:ln w="4152">
                                  <a:solidFill>
                                    <a:srgbClr val="000000"/>
                                  </a:solidFill>
                                  <a:prstDash val="solid"/>
                                </a:ln>
                              </wps:spPr>
                              <wps:bodyPr wrap="square" lIns="0" tIns="0" rIns="0" bIns="0" rtlCol="0">
                                <a:prstTxWarp prst="textNoShape">
                                  <a:avLst/>
                                </a:prstTxWarp>
                              </wps:bodyPr>
                            </wps:wsp>
                            <wps:wsp xmlns:wps="http://schemas.microsoft.com/office/word/2010/wordprocessingShape">
                              <wps:cNvPr id="118" name="Graphic 118"/>
                              <wps:cNvSpPr/>
                              <wps:spPr>
                                <a:xfrm>
                                  <a:off x="14890" y="67595"/>
                                  <a:ext cx="19050" cy="33020"/>
                                </a:xfrm>
                                <a:custGeom>
                                  <a:avLst/>
                                  <a:gdLst/>
                                  <a:rect l="l" t="t" r="r" b="b"/>
                                  <a:pathLst>
                                    <a:path fill="norm" h="33020" w="19050" stroke="1">
                                      <a:moveTo>
                                        <a:pt x="0" y="0"/>
                                      </a:moveTo>
                                      <a:lnTo>
                                        <a:pt x="18554" y="33020"/>
                                      </a:lnTo>
                                    </a:path>
                                  </a:pathLst>
                                </a:custGeom>
                                <a:ln w="8305">
                                  <a:solidFill>
                                    <a:srgbClr val="000000"/>
                                  </a:solidFill>
                                  <a:prstDash val="solid"/>
                                </a:ln>
                              </wps:spPr>
                              <wps:bodyPr wrap="square" lIns="0" tIns="0" rIns="0" bIns="0" rtlCol="0">
                                <a:prstTxWarp prst="textNoShape">
                                  <a:avLst/>
                                </a:prstTxWarp>
                              </wps:bodyPr>
                            </wps:wsp>
                            <wps:wsp xmlns:wps="http://schemas.microsoft.com/office/word/2010/wordprocessingShape">
                              <wps:cNvPr id="119" name="Graphic 119"/>
                              <wps:cNvSpPr/>
                              <wps:spPr>
                                <a:xfrm>
                                  <a:off x="35540" y="2076"/>
                                  <a:ext cx="102235" cy="99060"/>
                                </a:xfrm>
                                <a:custGeom>
                                  <a:avLst/>
                                  <a:gdLst/>
                                  <a:rect l="l" t="t" r="r" b="b"/>
                                  <a:pathLst>
                                    <a:path fill="norm" h="99060" w="102235" stroke="1">
                                      <a:moveTo>
                                        <a:pt x="0" y="98539"/>
                                      </a:moveTo>
                                      <a:lnTo>
                                        <a:pt x="24561" y="0"/>
                                      </a:lnTo>
                                    </a:path>
                                    <a:path fill="norm" h="99060" w="102235" stroke="1">
                                      <a:moveTo>
                                        <a:pt x="24561" y="0"/>
                                      </a:moveTo>
                                      <a:lnTo>
                                        <a:pt x="101930" y="0"/>
                                      </a:lnTo>
                                    </a:path>
                                  </a:pathLst>
                                </a:custGeom>
                                <a:ln w="4152">
                                  <a:solidFill>
                                    <a:srgbClr val="000000"/>
                                  </a:solidFill>
                                  <a:prstDash val="solid"/>
                                </a:ln>
                              </wps:spPr>
                              <wps:bodyPr wrap="square" lIns="0" tIns="0" rIns="0" bIns="0" rtlCol="0">
                                <a:prstTxWarp prst="textNoShape">
                                  <a:avLst/>
                                </a:prstTxWarp>
                              </wps:bodyPr>
                            </wps:wsp>
                          </wpg:wgp>
                        </a:graphicData>
                      </a:graphic>
                    </wp:anchor>
                  </w:drawing>
                </mc:Choice>
                <mc:Fallback>
                  <w:pict>
                    <v:group id="_x0000_s1058" style="width:10.85pt;height:8.25pt;margin-top:21.54pt;margin-left:50.91pt;position:absolute;z-index:-251644928" coordorigin="1018,431" coordsize="217,165">
                      <v:line id="_x0000_s1059" style="position:absolute" from="1021,545" to="1042,534" stroked="t" strokecolor="black" strokeweight="0.33pt">
                        <v:stroke dashstyle="solid"/>
                      </v:line>
                      <v:line id="_x0000_s1060" style="position:absolute" from="1042,537" to="1071,589" stroked="t" strokecolor="black" strokeweight="0.65pt">
                        <v:stroke dashstyle="solid"/>
                      </v:line>
                      <v:shape id="_x0000_s1061" style="width:161;height:156;left:1074;position:absolute;top:434" coordorigin="1074,434" coordsize="161,156" path="m1074,589l1113,434m1113,434l1235,434e" filled="f" stroked="t" strokecolor="black" strokeweight="0.33pt">
                        <v:stroke dashstyle="solid"/>
                        <v:path arrowok="t"/>
                      </v:shape>
                    </v:group>
                  </w:pict>
                </mc:Fallback>
              </mc:AlternateContent>
            </w:r>
            <w:r>
              <w:rPr>
                <w:sz w:val="16"/>
              </w:rPr>
              <w:t xml:space="preserve">150 </w:t>
            </w:r>
            <w:r>
              <w:rPr>
                <w:sz w:val="16"/>
              </w:rPr>
              <w:t>kHz</w:t>
            </w:r>
            <w:r>
              <w:rPr>
                <w:rFonts w:ascii="Noto Sans CJK JP" w:eastAsia="Noto Sans CJK JP"/>
                <w:sz w:val="16"/>
              </w:rPr>
              <w:t>～</w:t>
            </w:r>
            <w:r>
              <w:rPr>
                <w:sz w:val="16"/>
              </w:rPr>
              <w:t xml:space="preserve">80 </w:t>
            </w:r>
            <w:r>
              <w:rPr>
                <w:sz w:val="16"/>
              </w:rPr>
              <w:t xml:space="preserve">MHz </w:t>
            </w:r>
            <w:r>
              <w:rPr>
                <w:position w:val="2"/>
                <w:sz w:val="16"/>
              </w:rPr>
              <w:t>d =</w:t>
            </w:r>
            <w:r>
              <w:rPr>
                <w:sz w:val="14"/>
              </w:rPr>
              <w:t xml:space="preserve"> 1,2 </w:t>
            </w:r>
            <w:r>
              <w:rPr>
                <w:i/>
                <w:sz w:val="14"/>
              </w:rPr>
              <w:t>P</w:t>
            </w:r>
          </w:p>
        </w:tc>
        <w:tc>
          <w:tcPr>
            <w:tcW w:w="1947" w:type="dxa"/>
          </w:tcPr>
          <w:p>
            <w:pPr>
              <w:pStyle w:val="TableParagraph"/>
              <w:spacing w:line="359" w:lineRule="exact"/>
              <w:ind w:left="48" w:right="39"/>
              <w:jc w:val="center"/>
              <w:rPr>
                <w:sz w:val="18"/>
              </w:rPr>
            </w:pPr>
            <w:r>
              <w:rPr>
                <w:sz w:val="16"/>
              </w:rPr>
              <w:t xml:space="preserve">80 </w:t>
            </w:r>
            <w:r>
              <w:rPr>
                <w:sz w:val="16"/>
              </w:rPr>
              <w:t>MHz</w:t>
            </w:r>
            <w:r>
              <w:rPr>
                <w:rFonts w:ascii="Noto Sans CJK JP" w:eastAsia="Noto Sans CJK JP"/>
                <w:sz w:val="16"/>
              </w:rPr>
              <w:t>～</w:t>
            </w:r>
            <w:r>
              <w:rPr>
                <w:sz w:val="16"/>
              </w:rPr>
              <w:t xml:space="preserve">800 </w:t>
            </w:r>
            <w:r>
              <w:rPr>
                <w:spacing w:val="-5"/>
                <w:sz w:val="16"/>
              </w:rPr>
              <w:t>MHz</w:t>
            </w:r>
          </w:p>
          <w:p>
            <w:pPr>
              <w:pStyle w:val="TableParagraph"/>
              <w:spacing w:before="31"/>
              <w:ind w:left="12" w:right="51"/>
              <w:jc w:val="center"/>
              <w:rPr>
                <w:i/>
                <w:sz w:val="15"/>
              </w:rPr>
            </w:pPr>
            <w:r>
              <w:rPr>
                <w:i/>
                <w:sz w:val="15"/>
              </w:rPr>
              <mc:AlternateContent>
                <mc:Choice Requires="wpg">
                  <w:drawing>
                    <wp:anchor distT="0" distB="0" distL="0" distR="0" simplePos="0" relativeHeight="251672576" behindDoc="1" locked="0" layoutInCell="1" allowOverlap="1">
                      <wp:simplePos x="0" y="0"/>
                      <wp:positionH relativeFrom="column">
                        <wp:posOffset>678884</wp:posOffset>
                      </wp:positionH>
                      <wp:positionV relativeFrom="paragraph">
                        <wp:posOffset>42352</wp:posOffset>
                      </wp:positionV>
                      <wp:extent cx="137795" cy="104775"/>
                      <wp:effectExtent l="0" t="0" r="0" b="0"/>
                      <wp:wrapNone/>
                      <wp:docPr id="120" name="Group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137795" cy="104775"/>
                                <a:chOff x="0" y="0"/>
                                <a:chExt cx="137795" cy="104775"/>
                              </a:xfrm>
                            </wpg:grpSpPr>
                            <wps:wsp xmlns:wps="http://schemas.microsoft.com/office/word/2010/wordprocessingShape">
                              <wps:cNvPr id="121" name="Graphic 121"/>
                              <wps:cNvSpPr/>
                              <wps:spPr>
                                <a:xfrm>
                                  <a:off x="2076" y="65525"/>
                                  <a:ext cx="13335" cy="7620"/>
                                </a:xfrm>
                                <a:custGeom>
                                  <a:avLst/>
                                  <a:gdLst/>
                                  <a:rect l="l" t="t" r="r" b="b"/>
                                  <a:pathLst>
                                    <a:path fill="norm" h="7620" w="13335" stroke="1">
                                      <a:moveTo>
                                        <a:pt x="0" y="7226"/>
                                      </a:moveTo>
                                      <a:lnTo>
                                        <a:pt x="12814" y="0"/>
                                      </a:lnTo>
                                    </a:path>
                                  </a:pathLst>
                                </a:custGeom>
                                <a:ln w="4152">
                                  <a:solidFill>
                                    <a:srgbClr val="000000"/>
                                  </a:solidFill>
                                  <a:prstDash val="solid"/>
                                </a:ln>
                              </wps:spPr>
                              <wps:bodyPr wrap="square" lIns="0" tIns="0" rIns="0" bIns="0" rtlCol="0">
                                <a:prstTxWarp prst="textNoShape">
                                  <a:avLst/>
                                </a:prstTxWarp>
                              </wps:bodyPr>
                            </wps:wsp>
                            <wps:wsp xmlns:wps="http://schemas.microsoft.com/office/word/2010/wordprocessingShape">
                              <wps:cNvPr id="122" name="Graphic 122"/>
                              <wps:cNvSpPr/>
                              <wps:spPr>
                                <a:xfrm>
                                  <a:off x="14890" y="67595"/>
                                  <a:ext cx="19050" cy="33020"/>
                                </a:xfrm>
                                <a:custGeom>
                                  <a:avLst/>
                                  <a:gdLst/>
                                  <a:rect l="l" t="t" r="r" b="b"/>
                                  <a:pathLst>
                                    <a:path fill="norm" h="33020" w="19050" stroke="1">
                                      <a:moveTo>
                                        <a:pt x="0" y="0"/>
                                      </a:moveTo>
                                      <a:lnTo>
                                        <a:pt x="18554" y="33020"/>
                                      </a:lnTo>
                                    </a:path>
                                  </a:pathLst>
                                </a:custGeom>
                                <a:ln w="8305">
                                  <a:solidFill>
                                    <a:srgbClr val="000000"/>
                                  </a:solidFill>
                                  <a:prstDash val="solid"/>
                                </a:ln>
                              </wps:spPr>
                              <wps:bodyPr wrap="square" lIns="0" tIns="0" rIns="0" bIns="0" rtlCol="0">
                                <a:prstTxWarp prst="textNoShape">
                                  <a:avLst/>
                                </a:prstTxWarp>
                              </wps:bodyPr>
                            </wps:wsp>
                            <wps:wsp xmlns:wps="http://schemas.microsoft.com/office/word/2010/wordprocessingShape">
                              <wps:cNvPr id="123" name="Graphic 123"/>
                              <wps:cNvSpPr/>
                              <wps:spPr>
                                <a:xfrm>
                                  <a:off x="35540" y="2076"/>
                                  <a:ext cx="102235" cy="99060"/>
                                </a:xfrm>
                                <a:custGeom>
                                  <a:avLst/>
                                  <a:gdLst/>
                                  <a:rect l="l" t="t" r="r" b="b"/>
                                  <a:pathLst>
                                    <a:path fill="norm" h="99060" w="102235" stroke="1">
                                      <a:moveTo>
                                        <a:pt x="0" y="98539"/>
                                      </a:moveTo>
                                      <a:lnTo>
                                        <a:pt x="24561" y="0"/>
                                      </a:lnTo>
                                    </a:path>
                                    <a:path fill="norm" h="99060" w="102235" stroke="1">
                                      <a:moveTo>
                                        <a:pt x="24561" y="0"/>
                                      </a:moveTo>
                                      <a:lnTo>
                                        <a:pt x="101930" y="0"/>
                                      </a:lnTo>
                                    </a:path>
                                  </a:pathLst>
                                </a:custGeom>
                                <a:ln w="4152">
                                  <a:solidFill>
                                    <a:srgbClr val="000000"/>
                                  </a:solidFill>
                                  <a:prstDash val="solid"/>
                                </a:ln>
                              </wps:spPr>
                              <wps:bodyPr wrap="square" lIns="0" tIns="0" rIns="0" bIns="0" rtlCol="0">
                                <a:prstTxWarp prst="textNoShape">
                                  <a:avLst/>
                                </a:prstTxWarp>
                              </wps:bodyPr>
                            </wps:wsp>
                          </wpg:wgp>
                        </a:graphicData>
                      </a:graphic>
                    </wp:anchor>
                  </w:drawing>
                </mc:Choice>
                <mc:Fallback>
                  <w:pict>
                    <v:group id="_x0000_s1062" style="width:10.85pt;height:8.25pt;margin-top:3.33pt;margin-left:53.46pt;position:absolute;z-index:-251642880" coordorigin="1069,67" coordsize="217,165">
                      <v:line id="_x0000_s1063" style="position:absolute" from="1072,181" to="1093,170" stroked="t" strokecolor="black" strokeweight="0.33pt">
                        <v:stroke dashstyle="solid"/>
                      </v:line>
                      <v:line id="_x0000_s1064" style="position:absolute" from="1093,173" to="1122,225" stroked="t" strokecolor="black" strokeweight="0.65pt">
                        <v:stroke dashstyle="solid"/>
                      </v:line>
                      <v:shape id="_x0000_s1065" style="width:161;height:156;left:1125;position:absolute;top:69" coordorigin="1125,70" coordsize="161,156" path="m1125,225l1164,70m1164,70l1286,70e" filled="f" stroked="t" strokecolor="black" strokeweight="0.33pt">
                        <v:stroke dashstyle="solid"/>
                        <v:path arrowok="t"/>
                      </v:shape>
                    </v:group>
                  </w:pict>
                </mc:Fallback>
              </mc:AlternateContent>
            </w:r>
            <w:r>
              <w:rPr>
                <w:position w:val="2"/>
                <w:sz w:val="16"/>
              </w:rPr>
              <w:t xml:space="preserve">d </w:t>
            </w:r>
            <w:r>
              <w:rPr>
                <w:sz w:val="14"/>
              </w:rPr>
              <w:t xml:space="preserve">=1,2 </w:t>
            </w:r>
            <w:r>
              <w:rPr>
                <w:i/>
                <w:spacing w:val="-10"/>
                <w:sz w:val="14"/>
              </w:rPr>
              <w:t>P</w:t>
            </w:r>
          </w:p>
        </w:tc>
        <w:tc>
          <w:tcPr>
            <w:tcW w:w="1803" w:type="dxa"/>
          </w:tcPr>
          <w:p>
            <w:pPr>
              <w:pStyle w:val="TableParagraph"/>
              <w:spacing w:line="259" w:lineRule="auto"/>
              <w:ind w:left="506" w:right="109" w:hanging="344"/>
              <w:rPr>
                <w:i/>
                <w:sz w:val="15"/>
              </w:rPr>
            </w:pPr>
            <w:r>
              <w:rPr>
                <w:i/>
                <w:sz w:val="15"/>
              </w:rPr>
              <mc:AlternateContent>
                <mc:Choice Requires="wpg">
                  <w:drawing>
                    <wp:anchor distT="0" distB="0" distL="0" distR="0" simplePos="0" relativeHeight="251674624" behindDoc="1" locked="0" layoutInCell="1" allowOverlap="1">
                      <wp:simplePos x="0" y="0"/>
                      <wp:positionH relativeFrom="column">
                        <wp:posOffset>666248</wp:posOffset>
                      </wp:positionH>
                      <wp:positionV relativeFrom="paragraph">
                        <wp:posOffset>273640</wp:posOffset>
                      </wp:positionV>
                      <wp:extent cx="134620" cy="104775"/>
                      <wp:effectExtent l="0" t="0" r="0" b="0"/>
                      <wp:wrapNone/>
                      <wp:docPr id="124" name="Group 124"/>
                      <wp:cNvGraphicFramePr/>
                      <a:graphic xmlns:a="http://schemas.openxmlformats.org/drawingml/2006/main">
                        <a:graphicData uri="http://schemas.microsoft.com/office/word/2010/wordprocessingGroup">
                          <wpg:wgp xmlns:wpg="http://schemas.microsoft.com/office/word/2010/wordprocessingGroup">
                            <wpg:cNvGrpSpPr/>
                            <wpg:grpSpPr>
                              <a:xfrm>
                                <a:off x="0" y="0"/>
                                <a:ext cx="134620" cy="104775"/>
                                <a:chOff x="0" y="0"/>
                                <a:chExt cx="134620" cy="104775"/>
                              </a:xfrm>
                            </wpg:grpSpPr>
                            <wps:wsp xmlns:wps="http://schemas.microsoft.com/office/word/2010/wordprocessingShape">
                              <wps:cNvPr id="125" name="Graphic 125"/>
                              <wps:cNvSpPr/>
                              <wps:spPr>
                                <a:xfrm>
                                  <a:off x="2051" y="65500"/>
                                  <a:ext cx="12700" cy="7620"/>
                                </a:xfrm>
                                <a:custGeom>
                                  <a:avLst/>
                                  <a:gdLst/>
                                  <a:rect l="l" t="t" r="r" b="b"/>
                                  <a:pathLst>
                                    <a:path fill="norm" h="7620" w="12700" stroke="1">
                                      <a:moveTo>
                                        <a:pt x="0" y="7226"/>
                                      </a:moveTo>
                                      <a:lnTo>
                                        <a:pt x="12509" y="0"/>
                                      </a:lnTo>
                                    </a:path>
                                  </a:pathLst>
                                </a:custGeom>
                                <a:ln w="4102">
                                  <a:solidFill>
                                    <a:srgbClr val="000000"/>
                                  </a:solidFill>
                                  <a:prstDash val="solid"/>
                                </a:ln>
                              </wps:spPr>
                              <wps:bodyPr wrap="square" lIns="0" tIns="0" rIns="0" bIns="0" rtlCol="0">
                                <a:prstTxWarp prst="textNoShape">
                                  <a:avLst/>
                                </a:prstTxWarp>
                              </wps:bodyPr>
                            </wps:wsp>
                            <wps:wsp xmlns:wps="http://schemas.microsoft.com/office/word/2010/wordprocessingShape">
                              <wps:cNvPr id="126" name="Graphic 126"/>
                              <wps:cNvSpPr/>
                              <wps:spPr>
                                <a:xfrm>
                                  <a:off x="14560" y="67570"/>
                                  <a:ext cx="18415" cy="33020"/>
                                </a:xfrm>
                                <a:custGeom>
                                  <a:avLst/>
                                  <a:gdLst/>
                                  <a:rect l="l" t="t" r="r" b="b"/>
                                  <a:pathLst>
                                    <a:path fill="norm" h="33020" w="18415" stroke="1">
                                      <a:moveTo>
                                        <a:pt x="0" y="0"/>
                                      </a:moveTo>
                                      <a:lnTo>
                                        <a:pt x="18122" y="33020"/>
                                      </a:lnTo>
                                    </a:path>
                                  </a:pathLst>
                                </a:custGeom>
                                <a:ln w="8216">
                                  <a:solidFill>
                                    <a:srgbClr val="000000"/>
                                  </a:solidFill>
                                  <a:prstDash val="solid"/>
                                </a:ln>
                              </wps:spPr>
                              <wps:bodyPr wrap="square" lIns="0" tIns="0" rIns="0" bIns="0" rtlCol="0">
                                <a:prstTxWarp prst="textNoShape">
                                  <a:avLst/>
                                </a:prstTxWarp>
                              </wps:bodyPr>
                            </wps:wsp>
                            <wps:wsp xmlns:wps="http://schemas.microsoft.com/office/word/2010/wordprocessingShape">
                              <wps:cNvPr id="127" name="Graphic 127"/>
                              <wps:cNvSpPr/>
                              <wps:spPr>
                                <a:xfrm>
                                  <a:off x="34715" y="2051"/>
                                  <a:ext cx="99695" cy="99060"/>
                                </a:xfrm>
                                <a:custGeom>
                                  <a:avLst/>
                                  <a:gdLst/>
                                  <a:rect l="l" t="t" r="r" b="b"/>
                                  <a:pathLst>
                                    <a:path fill="norm" h="99060" w="99695" stroke="1">
                                      <a:moveTo>
                                        <a:pt x="0" y="98539"/>
                                      </a:moveTo>
                                      <a:lnTo>
                                        <a:pt x="23990" y="0"/>
                                      </a:lnTo>
                                    </a:path>
                                    <a:path fill="norm" h="99060" w="99695" stroke="1">
                                      <a:moveTo>
                                        <a:pt x="23990" y="0"/>
                                      </a:moveTo>
                                      <a:lnTo>
                                        <a:pt x="99542" y="0"/>
                                      </a:lnTo>
                                    </a:path>
                                  </a:pathLst>
                                </a:custGeom>
                                <a:ln w="4102">
                                  <a:solidFill>
                                    <a:srgbClr val="000000"/>
                                  </a:solidFill>
                                  <a:prstDash val="solid"/>
                                </a:ln>
                              </wps:spPr>
                              <wps:bodyPr wrap="square" lIns="0" tIns="0" rIns="0" bIns="0" rtlCol="0">
                                <a:prstTxWarp prst="textNoShape">
                                  <a:avLst/>
                                </a:prstTxWarp>
                              </wps:bodyPr>
                            </wps:wsp>
                          </wpg:wgp>
                        </a:graphicData>
                      </a:graphic>
                    </wp:anchor>
                  </w:drawing>
                </mc:Choice>
                <mc:Fallback>
                  <w:pict>
                    <v:group id="_x0000_s1066" style="width:10.6pt;height:8.25pt;margin-top:21.55pt;margin-left:52.46pt;position:absolute;z-index:-251640832" coordorigin="1049,431" coordsize="212,165">
                      <v:line id="_x0000_s1067" style="position:absolute" from="1052,545" to="1072,534" stroked="t" strokecolor="black" strokeweight="0.32pt">
                        <v:stroke dashstyle="solid"/>
                      </v:line>
                      <v:line id="_x0000_s1068" style="position:absolute" from="1072,537" to="1101,589" stroked="t" strokecolor="black" strokeweight="0.65pt">
                        <v:stroke dashstyle="solid"/>
                      </v:line>
                      <v:shape id="_x0000_s1069" style="width:157;height:156;left:1103;position:absolute;top:434" coordorigin="1104,434" coordsize="157,156" path="m1104,589l1142,434m1142,434l1261,434e" filled="f" stroked="t" strokecolor="black" strokeweight="0.32pt">
                        <v:stroke dashstyle="solid"/>
                        <v:path arrowok="t"/>
                      </v:shape>
                    </v:group>
                  </w:pict>
                </mc:Fallback>
              </mc:AlternateContent>
            </w:r>
            <w:r>
              <w:rPr>
                <w:sz w:val="16"/>
              </w:rPr>
              <w:t xml:space="preserve">800 </w:t>
            </w:r>
            <w:r>
              <w:rPr>
                <w:sz w:val="16"/>
              </w:rPr>
              <w:t>MHz</w:t>
            </w:r>
            <w:r>
              <w:rPr>
                <w:rFonts w:ascii="Noto Sans CJK JP" w:eastAsia="Noto Sans CJK JP"/>
                <w:sz w:val="16"/>
              </w:rPr>
              <w:t>～</w:t>
            </w:r>
            <w:r>
              <w:rPr>
                <w:sz w:val="16"/>
              </w:rPr>
              <w:t xml:space="preserve">2,5 </w:t>
            </w:r>
            <w:r>
              <w:rPr>
                <w:sz w:val="16"/>
              </w:rPr>
              <w:t xml:space="preserve">GHz </w:t>
            </w:r>
            <w:r>
              <w:rPr>
                <w:position w:val="2"/>
                <w:sz w:val="16"/>
              </w:rPr>
              <w:t>d =</w:t>
            </w:r>
            <w:r>
              <w:rPr>
                <w:sz w:val="14"/>
              </w:rPr>
              <w:t xml:space="preserve"> 2,3 </w:t>
            </w:r>
            <w:r>
              <w:rPr>
                <w:i/>
                <w:sz w:val="14"/>
              </w:rPr>
              <w:t>P</w:t>
            </w:r>
          </w:p>
        </w:tc>
      </w:tr>
      <w:tr>
        <w:tblPrEx>
          <w:tblW w:w="0" w:type="auto"/>
          <w:tblInd w:w="236" w:type="dxa"/>
          <w:tblLayout w:type="fixed"/>
          <w:tblLook w:val="01E0"/>
        </w:tblPrEx>
        <w:trPr>
          <w:trHeight w:val="368"/>
        </w:trPr>
        <w:tc>
          <w:tcPr>
            <w:tcW w:w="1573" w:type="dxa"/>
          </w:tcPr>
          <w:p>
            <w:pPr>
              <w:pStyle w:val="TableParagraph"/>
              <w:spacing w:before="87"/>
              <w:ind w:left="10" w:right="2"/>
              <w:jc w:val="center"/>
              <w:rPr>
                <w:sz w:val="18"/>
              </w:rPr>
            </w:pPr>
            <w:r>
              <w:rPr>
                <w:spacing w:val="-4"/>
                <w:sz w:val="16"/>
              </w:rPr>
              <w:t>0,01</w:t>
            </w:r>
          </w:p>
        </w:tc>
        <w:tc>
          <w:tcPr>
            <w:tcW w:w="1754" w:type="dxa"/>
          </w:tcPr>
          <w:p>
            <w:pPr>
              <w:pStyle w:val="TableParagraph"/>
              <w:spacing w:before="87"/>
              <w:ind w:left="12" w:right="5"/>
              <w:jc w:val="center"/>
              <w:rPr>
                <w:sz w:val="18"/>
              </w:rPr>
            </w:pPr>
            <w:r>
              <w:rPr>
                <w:spacing w:val="-4"/>
                <w:sz w:val="16"/>
              </w:rPr>
              <w:t>0,12</w:t>
            </w:r>
          </w:p>
        </w:tc>
        <w:tc>
          <w:tcPr>
            <w:tcW w:w="1947" w:type="dxa"/>
          </w:tcPr>
          <w:p>
            <w:pPr>
              <w:pStyle w:val="TableParagraph"/>
              <w:spacing w:before="87"/>
              <w:ind w:left="51" w:right="39"/>
              <w:jc w:val="center"/>
              <w:rPr>
                <w:sz w:val="18"/>
              </w:rPr>
            </w:pPr>
            <w:r>
              <w:rPr>
                <w:spacing w:val="-4"/>
                <w:sz w:val="16"/>
              </w:rPr>
              <w:t>0,12</w:t>
            </w:r>
          </w:p>
        </w:tc>
        <w:tc>
          <w:tcPr>
            <w:tcW w:w="1803" w:type="dxa"/>
          </w:tcPr>
          <w:p>
            <w:pPr>
              <w:pStyle w:val="TableParagraph"/>
              <w:spacing w:before="87"/>
              <w:ind w:left="10"/>
              <w:jc w:val="center"/>
              <w:rPr>
                <w:sz w:val="18"/>
              </w:rPr>
            </w:pPr>
            <w:r>
              <w:rPr>
                <w:spacing w:val="-4"/>
                <w:sz w:val="16"/>
              </w:rPr>
              <w:t>0,23</w:t>
            </w:r>
          </w:p>
        </w:tc>
      </w:tr>
      <w:tr>
        <w:tblPrEx>
          <w:tblW w:w="0" w:type="auto"/>
          <w:tblInd w:w="236" w:type="dxa"/>
          <w:tblLayout w:type="fixed"/>
          <w:tblLook w:val="01E0"/>
        </w:tblPrEx>
        <w:trPr>
          <w:trHeight w:val="365"/>
        </w:trPr>
        <w:tc>
          <w:tcPr>
            <w:tcW w:w="1573" w:type="dxa"/>
          </w:tcPr>
          <w:p>
            <w:pPr>
              <w:pStyle w:val="TableParagraph"/>
              <w:spacing w:before="85"/>
              <w:ind w:left="10"/>
              <w:jc w:val="center"/>
              <w:rPr>
                <w:sz w:val="18"/>
              </w:rPr>
            </w:pPr>
            <w:r>
              <w:rPr>
                <w:spacing w:val="-5"/>
                <w:sz w:val="16"/>
              </w:rPr>
              <w:t>0,1</w:t>
            </w:r>
          </w:p>
        </w:tc>
        <w:tc>
          <w:tcPr>
            <w:tcW w:w="1754" w:type="dxa"/>
          </w:tcPr>
          <w:p>
            <w:pPr>
              <w:pStyle w:val="TableParagraph"/>
              <w:spacing w:before="85"/>
              <w:ind w:left="12" w:right="5"/>
              <w:jc w:val="center"/>
              <w:rPr>
                <w:sz w:val="18"/>
              </w:rPr>
            </w:pPr>
            <w:r>
              <w:rPr>
                <w:spacing w:val="-4"/>
                <w:sz w:val="16"/>
              </w:rPr>
              <w:t>0,38</w:t>
            </w:r>
          </w:p>
        </w:tc>
        <w:tc>
          <w:tcPr>
            <w:tcW w:w="1947" w:type="dxa"/>
          </w:tcPr>
          <w:p>
            <w:pPr>
              <w:pStyle w:val="TableParagraph"/>
              <w:spacing w:before="85"/>
              <w:ind w:left="51" w:right="39"/>
              <w:jc w:val="center"/>
              <w:rPr>
                <w:sz w:val="18"/>
              </w:rPr>
            </w:pPr>
            <w:r>
              <w:rPr>
                <w:spacing w:val="-4"/>
                <w:sz w:val="16"/>
              </w:rPr>
              <w:t>0,38</w:t>
            </w:r>
          </w:p>
        </w:tc>
        <w:tc>
          <w:tcPr>
            <w:tcW w:w="1803" w:type="dxa"/>
          </w:tcPr>
          <w:p>
            <w:pPr>
              <w:pStyle w:val="TableParagraph"/>
              <w:spacing w:before="85"/>
              <w:ind w:left="10"/>
              <w:jc w:val="center"/>
              <w:rPr>
                <w:sz w:val="18"/>
              </w:rPr>
            </w:pPr>
            <w:r>
              <w:rPr>
                <w:spacing w:val="-4"/>
                <w:sz w:val="16"/>
              </w:rPr>
              <w:t>0,73</w:t>
            </w:r>
          </w:p>
        </w:tc>
      </w:tr>
      <w:tr>
        <w:tblPrEx>
          <w:tblW w:w="0" w:type="auto"/>
          <w:tblInd w:w="236" w:type="dxa"/>
          <w:tblLayout w:type="fixed"/>
          <w:tblLook w:val="01E0"/>
        </w:tblPrEx>
        <w:trPr>
          <w:trHeight w:val="378"/>
        </w:trPr>
        <w:tc>
          <w:tcPr>
            <w:tcW w:w="1573" w:type="dxa"/>
          </w:tcPr>
          <w:p>
            <w:pPr>
              <w:pStyle w:val="TableParagraph"/>
              <w:spacing w:before="92"/>
              <w:ind w:left="10" w:right="2"/>
              <w:jc w:val="center"/>
              <w:rPr>
                <w:sz w:val="18"/>
              </w:rPr>
            </w:pPr>
            <w:r>
              <w:rPr>
                <w:spacing w:val="-10"/>
                <w:sz w:val="16"/>
              </w:rPr>
              <w:t>1</w:t>
            </w:r>
          </w:p>
        </w:tc>
        <w:tc>
          <w:tcPr>
            <w:tcW w:w="1754" w:type="dxa"/>
          </w:tcPr>
          <w:p>
            <w:pPr>
              <w:pStyle w:val="TableParagraph"/>
              <w:spacing w:before="92"/>
              <w:ind w:left="12" w:right="3"/>
              <w:jc w:val="center"/>
              <w:rPr>
                <w:sz w:val="18"/>
              </w:rPr>
            </w:pPr>
            <w:r>
              <w:rPr>
                <w:spacing w:val="-5"/>
                <w:sz w:val="16"/>
              </w:rPr>
              <w:t>1,2</w:t>
            </w:r>
          </w:p>
        </w:tc>
        <w:tc>
          <w:tcPr>
            <w:tcW w:w="1947" w:type="dxa"/>
          </w:tcPr>
          <w:p>
            <w:pPr>
              <w:pStyle w:val="TableParagraph"/>
              <w:spacing w:before="92"/>
              <w:ind w:left="48" w:right="39"/>
              <w:jc w:val="center"/>
              <w:rPr>
                <w:sz w:val="18"/>
              </w:rPr>
            </w:pPr>
            <w:r>
              <w:rPr>
                <w:spacing w:val="-5"/>
                <w:sz w:val="16"/>
              </w:rPr>
              <w:t>1,2</w:t>
            </w:r>
          </w:p>
        </w:tc>
        <w:tc>
          <w:tcPr>
            <w:tcW w:w="1803" w:type="dxa"/>
          </w:tcPr>
          <w:p>
            <w:pPr>
              <w:pStyle w:val="TableParagraph"/>
              <w:spacing w:before="92"/>
              <w:ind w:left="10"/>
              <w:jc w:val="center"/>
              <w:rPr>
                <w:sz w:val="18"/>
              </w:rPr>
            </w:pPr>
            <w:r>
              <w:rPr>
                <w:spacing w:val="-5"/>
                <w:sz w:val="16"/>
              </w:rPr>
              <w:t>2,3</w:t>
            </w:r>
          </w:p>
        </w:tc>
      </w:tr>
      <w:tr>
        <w:tblPrEx>
          <w:tblW w:w="0" w:type="auto"/>
          <w:tblInd w:w="236" w:type="dxa"/>
          <w:tblLayout w:type="fixed"/>
          <w:tblLook w:val="01E0"/>
        </w:tblPrEx>
        <w:trPr>
          <w:trHeight w:val="365"/>
        </w:trPr>
        <w:tc>
          <w:tcPr>
            <w:tcW w:w="1573" w:type="dxa"/>
          </w:tcPr>
          <w:p>
            <w:pPr>
              <w:pStyle w:val="TableParagraph"/>
              <w:spacing w:before="87"/>
              <w:ind w:left="10" w:right="2"/>
              <w:jc w:val="center"/>
              <w:rPr>
                <w:sz w:val="18"/>
              </w:rPr>
            </w:pPr>
            <w:r>
              <w:rPr>
                <w:spacing w:val="-5"/>
                <w:sz w:val="16"/>
              </w:rPr>
              <w:t>10</w:t>
            </w:r>
          </w:p>
        </w:tc>
        <w:tc>
          <w:tcPr>
            <w:tcW w:w="1754" w:type="dxa"/>
          </w:tcPr>
          <w:p>
            <w:pPr>
              <w:pStyle w:val="TableParagraph"/>
              <w:spacing w:before="87"/>
              <w:ind w:left="12" w:right="3"/>
              <w:jc w:val="center"/>
              <w:rPr>
                <w:sz w:val="18"/>
              </w:rPr>
            </w:pPr>
            <w:r>
              <w:rPr>
                <w:spacing w:val="-5"/>
                <w:sz w:val="16"/>
              </w:rPr>
              <w:t>3,8</w:t>
            </w:r>
          </w:p>
        </w:tc>
        <w:tc>
          <w:tcPr>
            <w:tcW w:w="1947" w:type="dxa"/>
          </w:tcPr>
          <w:p>
            <w:pPr>
              <w:pStyle w:val="TableParagraph"/>
              <w:spacing w:before="87"/>
              <w:ind w:left="48" w:right="39"/>
              <w:jc w:val="center"/>
              <w:rPr>
                <w:sz w:val="18"/>
              </w:rPr>
            </w:pPr>
            <w:r>
              <w:rPr>
                <w:spacing w:val="-5"/>
                <w:sz w:val="16"/>
              </w:rPr>
              <w:t>3,8</w:t>
            </w:r>
          </w:p>
        </w:tc>
        <w:tc>
          <w:tcPr>
            <w:tcW w:w="1803" w:type="dxa"/>
          </w:tcPr>
          <w:p>
            <w:pPr>
              <w:pStyle w:val="TableParagraph"/>
              <w:spacing w:before="87"/>
              <w:ind w:left="10"/>
              <w:jc w:val="center"/>
              <w:rPr>
                <w:sz w:val="18"/>
              </w:rPr>
            </w:pPr>
            <w:r>
              <w:rPr>
                <w:spacing w:val="-5"/>
                <w:sz w:val="16"/>
              </w:rPr>
              <w:t>7,3</w:t>
            </w:r>
          </w:p>
        </w:tc>
      </w:tr>
      <w:tr>
        <w:tblPrEx>
          <w:tblW w:w="0" w:type="auto"/>
          <w:tblInd w:w="236" w:type="dxa"/>
          <w:tblLayout w:type="fixed"/>
          <w:tblLook w:val="01E0"/>
        </w:tblPrEx>
        <w:trPr>
          <w:trHeight w:val="365"/>
        </w:trPr>
        <w:tc>
          <w:tcPr>
            <w:tcW w:w="1573" w:type="dxa"/>
          </w:tcPr>
          <w:p>
            <w:pPr>
              <w:pStyle w:val="TableParagraph"/>
              <w:spacing w:before="86"/>
              <w:ind w:left="10"/>
              <w:jc w:val="center"/>
              <w:rPr>
                <w:sz w:val="18"/>
              </w:rPr>
            </w:pPr>
            <w:r>
              <w:rPr>
                <w:spacing w:val="-5"/>
                <w:sz w:val="16"/>
              </w:rPr>
              <w:t>100</w:t>
            </w:r>
          </w:p>
        </w:tc>
        <w:tc>
          <w:tcPr>
            <w:tcW w:w="1754" w:type="dxa"/>
          </w:tcPr>
          <w:p>
            <w:pPr>
              <w:pStyle w:val="TableParagraph"/>
              <w:spacing w:before="86"/>
              <w:ind w:left="12"/>
              <w:jc w:val="center"/>
              <w:rPr>
                <w:sz w:val="18"/>
              </w:rPr>
            </w:pPr>
            <w:r>
              <w:rPr>
                <w:spacing w:val="-5"/>
                <w:sz w:val="16"/>
              </w:rPr>
              <w:t>12</w:t>
            </w:r>
          </w:p>
        </w:tc>
        <w:tc>
          <w:tcPr>
            <w:tcW w:w="1947" w:type="dxa"/>
          </w:tcPr>
          <w:p>
            <w:pPr>
              <w:pStyle w:val="TableParagraph"/>
              <w:spacing w:before="86"/>
              <w:ind w:left="46" w:right="39"/>
              <w:jc w:val="center"/>
              <w:rPr>
                <w:sz w:val="18"/>
              </w:rPr>
            </w:pPr>
            <w:r>
              <w:rPr>
                <w:spacing w:val="-5"/>
                <w:sz w:val="16"/>
              </w:rPr>
              <w:t>12</w:t>
            </w:r>
          </w:p>
        </w:tc>
        <w:tc>
          <w:tcPr>
            <w:tcW w:w="1803" w:type="dxa"/>
          </w:tcPr>
          <w:p>
            <w:pPr>
              <w:pStyle w:val="TableParagraph"/>
              <w:spacing w:before="86"/>
              <w:ind w:left="10"/>
              <w:jc w:val="center"/>
              <w:rPr>
                <w:sz w:val="18"/>
              </w:rPr>
            </w:pPr>
            <w:r>
              <w:rPr>
                <w:spacing w:val="-5"/>
                <w:sz w:val="16"/>
              </w:rPr>
              <w:t>23</w:t>
            </w:r>
          </w:p>
        </w:tc>
      </w:tr>
      <w:tr>
        <w:tblPrEx>
          <w:tblW w:w="0" w:type="auto"/>
          <w:tblInd w:w="236" w:type="dxa"/>
          <w:tblLayout w:type="fixed"/>
          <w:tblLook w:val="01E0"/>
        </w:tblPrEx>
        <w:trPr>
          <w:trHeight w:val="2168"/>
        </w:trPr>
        <w:tc>
          <w:tcPr>
            <w:tcW w:w="7077" w:type="dxa"/>
            <w:gridSpan w:val="4"/>
          </w:tcPr>
          <w:p>
            <w:pPr>
              <w:pStyle w:val="TableParagraph"/>
              <w:spacing w:before="86" w:line="278" w:lineRule="auto"/>
              <w:ind w:left="106" w:right="95"/>
              <w:jc w:val="both"/>
              <w:rPr>
                <w:sz w:val="18"/>
              </w:rPr>
            </w:pPr>
            <w:r>
              <w:rPr>
                <w:sz w:val="16"/>
              </w:rPr>
              <w:t>Pro maximální výstupní výkon vysílačů, které nejsou uvedeny v tabulce výše</w:t>
            </w:r>
            <w:r>
              <w:rPr>
                <w:sz w:val="16"/>
              </w:rPr>
              <w:t xml:space="preserve">, lze </w:t>
            </w:r>
            <w:r>
              <w:rPr>
                <w:sz w:val="16"/>
              </w:rPr>
              <w:t xml:space="preserve">doporučenou separační </w:t>
            </w:r>
            <w:r>
              <w:rPr>
                <w:sz w:val="16"/>
              </w:rPr>
              <w:t xml:space="preserve">vzdálenost d </w:t>
            </w:r>
            <w:r>
              <w:rPr>
                <w:sz w:val="16"/>
              </w:rPr>
              <w:t xml:space="preserve">v metrech (m) určit pomocí </w:t>
            </w:r>
            <w:r>
              <w:rPr>
                <w:sz w:val="16"/>
              </w:rPr>
              <w:t xml:space="preserve">vzorce v </w:t>
            </w:r>
            <w:r>
              <w:rPr>
                <w:sz w:val="16"/>
              </w:rPr>
              <w:t xml:space="preserve">odpovídajícím sloupci frekvence vysílače, kde P </w:t>
            </w:r>
            <w:r>
              <w:rPr>
                <w:sz w:val="16"/>
              </w:rPr>
              <w:t>je maximální výstupní výkon vysílače ve wattech (W) podle údajů výrobce vysílače.</w:t>
            </w:r>
          </w:p>
          <w:p>
            <w:pPr>
              <w:pStyle w:val="TableParagraph"/>
              <w:spacing w:before="62" w:line="278" w:lineRule="auto"/>
              <w:ind w:left="106" w:right="95"/>
              <w:jc w:val="both"/>
              <w:rPr>
                <w:sz w:val="18"/>
              </w:rPr>
            </w:pPr>
            <w:r>
              <w:rPr>
                <w:sz w:val="16"/>
              </w:rPr>
              <w:t xml:space="preserve">Poznámka 1: Při frekvencích 80 MHz a 800 MHz použijte vzorec pro vyšší frekvenční </w:t>
            </w:r>
            <w:r>
              <w:rPr>
                <w:spacing w:val="-2"/>
                <w:sz w:val="16"/>
              </w:rPr>
              <w:t>rozsah.</w:t>
            </w:r>
          </w:p>
          <w:p>
            <w:pPr>
              <w:pStyle w:val="TableParagraph"/>
              <w:spacing w:before="62" w:line="278" w:lineRule="auto"/>
              <w:ind w:left="106" w:right="95"/>
              <w:jc w:val="both"/>
              <w:rPr>
                <w:sz w:val="18"/>
              </w:rPr>
            </w:pPr>
            <w:r>
              <w:rPr>
                <w:sz w:val="16"/>
              </w:rPr>
              <w:t>Poznámka 2: Tyto pokyny nemusí být vhodné pro všechny situace, protože šíření elektromagnetického záření je ovlivněno absorpcí a odrazem budov, předmětů a lidského těla.</w:t>
            </w:r>
          </w:p>
        </w:tc>
      </w:tr>
    </w:tbl>
    <w:p>
      <w:pPr>
        <w:pStyle w:val="TableParagraph"/>
        <w:spacing w:after="0" w:line="278" w:lineRule="auto"/>
        <w:jc w:val="both"/>
        <w:rPr>
          <w:sz w:val="18"/>
        </w:rPr>
        <w:sectPr>
          <w:pgSz w:w="8390" w:h="11910"/>
          <w:pgMar w:top="720" w:right="425" w:bottom="540" w:left="425" w:header="0" w:footer="342"/>
          <w:cols w:space="708"/>
        </w:sectPr>
      </w:pPr>
    </w:p>
    <w:p>
      <w:pPr>
        <w:pStyle w:val="Heading1"/>
        <w:spacing w:before="72"/>
        <w:ind w:left="295" w:firstLine="0"/>
      </w:pPr>
      <w:bookmarkStart w:id="120" w:name="Appendix III Cyber security"/>
      <w:bookmarkEnd w:id="120"/>
      <w:bookmarkStart w:id="121" w:name="_bookmark60"/>
      <w:bookmarkEnd w:id="121"/>
      <w:r>
        <w:rPr>
          <w:sz w:val="18"/>
        </w:rPr>
        <w:t xml:space="preserve">Příloha </w:t>
      </w:r>
      <w:r>
        <w:rPr>
          <w:sz w:val="18"/>
        </w:rPr>
        <w:t xml:space="preserve">III </w:t>
      </w:r>
      <w:r>
        <w:rPr>
          <w:sz w:val="18"/>
        </w:rPr>
        <w:t xml:space="preserve">Kybernetická </w:t>
      </w:r>
      <w:r>
        <w:rPr>
          <w:spacing w:val="-2"/>
          <w:sz w:val="18"/>
        </w:rPr>
        <w:t>bezpečnost</w:t>
      </w:r>
    </w:p>
    <w:p>
      <w:pPr>
        <w:pStyle w:val="ListParagraph"/>
        <w:numPr>
          <w:ilvl w:val="0"/>
          <w:numId w:val="2"/>
        </w:numPr>
        <w:tabs>
          <w:tab w:val="left" w:pos="474"/>
        </w:tabs>
        <w:spacing w:before="180" w:after="0" w:line="240" w:lineRule="auto"/>
        <w:ind w:left="474" w:right="0" w:hanging="179"/>
        <w:jc w:val="left"/>
        <w:rPr>
          <w:sz w:val="18"/>
        </w:rPr>
      </w:pPr>
      <w:r>
        <w:rPr>
          <w:sz w:val="16"/>
        </w:rPr>
        <w:t xml:space="preserve">Sériová </w:t>
      </w:r>
      <w:r>
        <w:rPr>
          <w:spacing w:val="-2"/>
          <w:sz w:val="16"/>
        </w:rPr>
        <w:t>komunikace</w:t>
      </w:r>
    </w:p>
    <w:p>
      <w:pPr>
        <w:pStyle w:val="BodyText"/>
        <w:spacing w:before="189" w:line="458" w:lineRule="auto"/>
        <w:ind w:right="932"/>
      </w:pPr>
      <w:r>
        <w:rPr>
          <w:sz w:val="16"/>
        </w:rPr>
        <w:t xml:space="preserve">Mechanismus </w:t>
      </w:r>
      <w:r>
        <w:rPr>
          <w:sz w:val="16"/>
        </w:rPr>
        <w:t xml:space="preserve">kontroly </w:t>
      </w:r>
      <w:r>
        <w:rPr>
          <w:sz w:val="16"/>
        </w:rPr>
        <w:t xml:space="preserve">přístupu </w:t>
      </w:r>
      <w:r>
        <w:rPr>
          <w:sz w:val="16"/>
        </w:rPr>
        <w:t>uživatelů</w:t>
      </w:r>
      <w:r>
        <w:rPr>
          <w:sz w:val="16"/>
        </w:rPr>
        <w:t xml:space="preserve">: </w:t>
      </w:r>
      <w:r>
        <w:rPr>
          <w:sz w:val="16"/>
        </w:rPr>
        <w:t xml:space="preserve">Ověřování </w:t>
      </w:r>
      <w:r>
        <w:rPr>
          <w:sz w:val="16"/>
        </w:rPr>
        <w:t xml:space="preserve">identity </w:t>
      </w:r>
      <w:r>
        <w:rPr>
          <w:sz w:val="16"/>
        </w:rPr>
        <w:t xml:space="preserve">uživatelů </w:t>
      </w:r>
      <w:r>
        <w:rPr>
          <w:sz w:val="16"/>
        </w:rPr>
        <w:t xml:space="preserve">pomocí </w:t>
      </w:r>
      <w:r>
        <w:rPr>
          <w:sz w:val="16"/>
        </w:rPr>
        <w:t>hesel. Elektronické rozhraní: Multifunkční rozhraní k sériovému portu.</w:t>
      </w:r>
    </w:p>
    <w:p>
      <w:pPr>
        <w:pStyle w:val="BodyText"/>
        <w:spacing w:before="1"/>
      </w:pPr>
      <w:r>
        <w:rPr>
          <w:sz w:val="16"/>
        </w:rPr>
        <w:t xml:space="preserve">Typ </w:t>
      </w:r>
      <w:r>
        <w:rPr>
          <w:sz w:val="16"/>
        </w:rPr>
        <w:t>dat</w:t>
      </w:r>
      <w:r>
        <w:rPr>
          <w:sz w:val="16"/>
        </w:rPr>
        <w:t xml:space="preserve">: </w:t>
      </w:r>
      <w:r>
        <w:rPr>
          <w:sz w:val="16"/>
        </w:rPr>
        <w:t xml:space="preserve">Provozní </w:t>
      </w:r>
      <w:r>
        <w:rPr>
          <w:sz w:val="16"/>
        </w:rPr>
        <w:t xml:space="preserve">informace </w:t>
      </w:r>
      <w:r>
        <w:rPr>
          <w:sz w:val="16"/>
        </w:rPr>
        <w:t xml:space="preserve">o zařízení </w:t>
      </w:r>
      <w:r>
        <w:rPr>
          <w:sz w:val="16"/>
        </w:rPr>
        <w:t>(např</w:t>
      </w:r>
      <w:r>
        <w:rPr>
          <w:sz w:val="16"/>
        </w:rPr>
        <w:t xml:space="preserve">. </w:t>
      </w:r>
      <w:r>
        <w:rPr>
          <w:sz w:val="16"/>
        </w:rPr>
        <w:t xml:space="preserve">alarmové </w:t>
      </w:r>
      <w:r>
        <w:rPr>
          <w:sz w:val="16"/>
        </w:rPr>
        <w:t xml:space="preserve">signály, </w:t>
      </w:r>
      <w:r>
        <w:rPr>
          <w:sz w:val="16"/>
        </w:rPr>
        <w:t xml:space="preserve">kumulativní </w:t>
      </w:r>
      <w:r>
        <w:rPr>
          <w:spacing w:val="-2"/>
          <w:sz w:val="16"/>
        </w:rPr>
        <w:t>objem).</w:t>
      </w:r>
    </w:p>
    <w:p>
      <w:pPr>
        <w:pStyle w:val="BodyText"/>
        <w:spacing w:before="189" w:line="278" w:lineRule="auto"/>
        <w:ind w:right="292"/>
        <w:jc w:val="both"/>
      </w:pPr>
      <w:r>
        <w:rPr>
          <w:sz w:val="16"/>
        </w:rPr>
        <w:t>Technické vlastnosti: Připojení k vytvoření osobní sítě prostřednictvím kabelové multifunkční sériové portové linky, provádění jednosměrné datové komunikace prostřednictvím elektrického portu pomocí standardního protokolu RS232. Konfigurace komunikačního rozhraní: 115200, s odesíláním znaků ASCII.</w:t>
      </w:r>
    </w:p>
    <w:p>
      <w:pPr>
        <w:pStyle w:val="BodyText"/>
        <w:spacing w:line="278" w:lineRule="auto"/>
        <w:ind w:right="293"/>
        <w:jc w:val="both"/>
      </w:pPr>
      <w:r>
        <w:rPr>
          <w:sz w:val="16"/>
        </w:rPr>
        <w:t>Konfigurace funkce zabezpečení sítě: Typ přenosu dat je jednosměrný; záznamy související se zařízením nelze na straně zařízení smazat.</w:t>
      </w:r>
    </w:p>
    <w:p>
      <w:pPr>
        <w:pStyle w:val="BodyText"/>
        <w:spacing w:before="155"/>
      </w:pPr>
      <w:r>
        <w:rPr>
          <w:sz w:val="16"/>
        </w:rPr>
        <w:t xml:space="preserve">Bezpečnostní </w:t>
      </w:r>
      <w:r>
        <w:rPr>
          <w:sz w:val="16"/>
        </w:rPr>
        <w:t xml:space="preserve">mechanismus: </w:t>
      </w:r>
      <w:r>
        <w:rPr>
          <w:spacing w:val="-2"/>
          <w:sz w:val="16"/>
        </w:rPr>
        <w:t xml:space="preserve">Šifrování </w:t>
      </w:r>
      <w:r>
        <w:rPr>
          <w:sz w:val="16"/>
        </w:rPr>
        <w:t xml:space="preserve">datového </w:t>
      </w:r>
      <w:r>
        <w:rPr>
          <w:sz w:val="16"/>
        </w:rPr>
        <w:t>přenosu</w:t>
      </w:r>
    </w:p>
    <w:p>
      <w:pPr>
        <w:pStyle w:val="BodyText"/>
        <w:spacing w:before="189"/>
      </w:pPr>
      <w:r>
        <w:rPr>
          <w:sz w:val="16"/>
        </w:rPr>
        <w:t xml:space="preserve">Zálohování </w:t>
      </w:r>
      <w:r>
        <w:rPr>
          <w:sz w:val="16"/>
        </w:rPr>
        <w:t xml:space="preserve">dat </w:t>
      </w:r>
      <w:r>
        <w:rPr>
          <w:sz w:val="16"/>
        </w:rPr>
        <w:t xml:space="preserve">a </w:t>
      </w:r>
      <w:r>
        <w:rPr>
          <w:sz w:val="16"/>
        </w:rPr>
        <w:t xml:space="preserve">obnova </w:t>
      </w:r>
      <w:r>
        <w:rPr>
          <w:sz w:val="16"/>
        </w:rPr>
        <w:t>po havárii</w:t>
      </w:r>
      <w:r>
        <w:rPr>
          <w:sz w:val="16"/>
        </w:rPr>
        <w:t xml:space="preserve">: </w:t>
      </w:r>
      <w:r>
        <w:rPr>
          <w:sz w:val="16"/>
        </w:rPr>
        <w:t xml:space="preserve">Záznamy </w:t>
      </w:r>
      <w:r>
        <w:rPr>
          <w:sz w:val="16"/>
        </w:rPr>
        <w:t>související se</w:t>
      </w:r>
      <w:r>
        <w:rPr>
          <w:sz w:val="16"/>
        </w:rPr>
        <w:t xml:space="preserve"> zařízením </w:t>
      </w:r>
      <w:r>
        <w:rPr>
          <w:sz w:val="16"/>
        </w:rPr>
        <w:t xml:space="preserve">nelze </w:t>
      </w:r>
      <w:r>
        <w:rPr>
          <w:spacing w:val="-2"/>
          <w:sz w:val="16"/>
        </w:rPr>
        <w:t>smazat.</w:t>
      </w:r>
    </w:p>
    <w:p>
      <w:pPr>
        <w:pStyle w:val="BodyText"/>
        <w:spacing w:before="189" w:line="278" w:lineRule="auto"/>
        <w:ind w:right="293"/>
        <w:jc w:val="both"/>
      </w:pPr>
      <w:r>
        <w:rPr>
          <w:sz w:val="16"/>
        </w:rPr>
        <w:t>Provozní prostředí: WIN7 a kompatibilní verze; MobaXterm, verze softwaru: V21.2 a kompatibilní verze; ovladač USB k sériovému portu CH340, verze softwaru: 3.5.2019.1 a kompatibilní verze.</w:t>
      </w:r>
    </w:p>
    <w:p>
      <w:pPr>
        <w:pStyle w:val="BodyText"/>
        <w:spacing w:before="43"/>
        <w:ind w:left="0"/>
      </w:pPr>
    </w:p>
    <w:p>
      <w:pPr>
        <w:pStyle w:val="ListParagraph"/>
        <w:numPr>
          <w:ilvl w:val="0"/>
          <w:numId w:val="2"/>
        </w:numPr>
        <w:tabs>
          <w:tab w:val="left" w:pos="470"/>
        </w:tabs>
        <w:spacing w:before="0" w:after="0" w:line="240" w:lineRule="auto"/>
        <w:ind w:left="470" w:right="0" w:hanging="175"/>
        <w:jc w:val="left"/>
        <w:rPr>
          <w:sz w:val="18"/>
        </w:rPr>
      </w:pPr>
      <w:r>
        <w:rPr>
          <w:sz w:val="16"/>
        </w:rPr>
        <w:t xml:space="preserve">Wi-Fi </w:t>
      </w:r>
      <w:r>
        <w:rPr>
          <w:spacing w:val="-2"/>
          <w:sz w:val="16"/>
        </w:rPr>
        <w:t>komunikace</w:t>
      </w:r>
    </w:p>
    <w:p>
      <w:pPr>
        <w:pStyle w:val="BodyText"/>
        <w:spacing w:before="189" w:line="458" w:lineRule="auto"/>
        <w:ind w:right="932"/>
      </w:pPr>
      <w:r>
        <w:rPr>
          <w:sz w:val="16"/>
        </w:rPr>
        <w:t xml:space="preserve">Mechanismus </w:t>
      </w:r>
      <w:r>
        <w:rPr>
          <w:sz w:val="16"/>
        </w:rPr>
        <w:t xml:space="preserve">kontroly </w:t>
      </w:r>
      <w:r>
        <w:rPr>
          <w:sz w:val="16"/>
        </w:rPr>
        <w:t xml:space="preserve">přístupu </w:t>
      </w:r>
      <w:r>
        <w:rPr>
          <w:sz w:val="16"/>
        </w:rPr>
        <w:t>uživatelů</w:t>
      </w:r>
      <w:r>
        <w:rPr>
          <w:sz w:val="16"/>
        </w:rPr>
        <w:t xml:space="preserve">: </w:t>
      </w:r>
      <w:r>
        <w:rPr>
          <w:sz w:val="16"/>
        </w:rPr>
        <w:t xml:space="preserve">Ověřování </w:t>
      </w:r>
      <w:r>
        <w:rPr>
          <w:sz w:val="16"/>
        </w:rPr>
        <w:t xml:space="preserve">identity </w:t>
      </w:r>
      <w:r>
        <w:rPr>
          <w:sz w:val="16"/>
        </w:rPr>
        <w:t xml:space="preserve">uživatelů </w:t>
      </w:r>
      <w:r>
        <w:rPr>
          <w:sz w:val="16"/>
        </w:rPr>
        <w:t xml:space="preserve">pomocí </w:t>
      </w:r>
      <w:r>
        <w:rPr>
          <w:sz w:val="16"/>
        </w:rPr>
        <w:t>hesel. Elektronické rozhraní: Wi-Fi (IEEE 802.11)</w:t>
      </w:r>
    </w:p>
    <w:p>
      <w:pPr>
        <w:pStyle w:val="BodyText"/>
        <w:spacing w:before="1" w:line="278" w:lineRule="auto"/>
      </w:pPr>
      <w:r>
        <w:rPr>
          <w:sz w:val="16"/>
        </w:rPr>
        <w:t xml:space="preserve">Typ </w:t>
      </w:r>
      <w:r>
        <w:rPr>
          <w:sz w:val="16"/>
        </w:rPr>
        <w:t>dat</w:t>
      </w:r>
      <w:r>
        <w:rPr>
          <w:sz w:val="16"/>
        </w:rPr>
        <w:t xml:space="preserve">: </w:t>
      </w:r>
      <w:r>
        <w:rPr>
          <w:sz w:val="16"/>
        </w:rPr>
        <w:t xml:space="preserve">Informace </w:t>
      </w:r>
      <w:r>
        <w:rPr>
          <w:sz w:val="16"/>
        </w:rPr>
        <w:t xml:space="preserve">o provozu </w:t>
      </w:r>
      <w:r>
        <w:rPr>
          <w:sz w:val="16"/>
        </w:rPr>
        <w:t xml:space="preserve">zařízení </w:t>
      </w:r>
      <w:r>
        <w:rPr>
          <w:sz w:val="16"/>
        </w:rPr>
        <w:t>(např</w:t>
      </w:r>
      <w:r>
        <w:rPr>
          <w:sz w:val="16"/>
        </w:rPr>
        <w:t xml:space="preserve">. </w:t>
      </w:r>
      <w:r>
        <w:rPr>
          <w:sz w:val="16"/>
        </w:rPr>
        <w:t xml:space="preserve">alarmové </w:t>
      </w:r>
      <w:r>
        <w:rPr>
          <w:sz w:val="16"/>
        </w:rPr>
        <w:t xml:space="preserve">signály, </w:t>
      </w:r>
      <w:r>
        <w:rPr>
          <w:sz w:val="16"/>
        </w:rPr>
        <w:t xml:space="preserve">režim </w:t>
      </w:r>
      <w:r>
        <w:rPr>
          <w:sz w:val="16"/>
        </w:rPr>
        <w:t>infuze</w:t>
      </w:r>
      <w:r>
        <w:rPr>
          <w:sz w:val="16"/>
        </w:rPr>
        <w:t xml:space="preserve">, </w:t>
      </w:r>
      <w:r>
        <w:rPr>
          <w:sz w:val="16"/>
        </w:rPr>
        <w:t xml:space="preserve">průtok, </w:t>
      </w:r>
      <w:r>
        <w:rPr>
          <w:sz w:val="16"/>
        </w:rPr>
        <w:t>čas, přednastavený objem, kumulativní objem)</w:t>
      </w:r>
    </w:p>
    <w:p>
      <w:pPr>
        <w:pStyle w:val="BodyText"/>
        <w:spacing w:line="278" w:lineRule="auto"/>
        <w:ind w:right="290"/>
        <w:jc w:val="both"/>
      </w:pPr>
      <w:r>
        <w:rPr>
          <w:sz w:val="16"/>
        </w:rPr>
        <w:t xml:space="preserve">Technické vlastnosti: Vytvoření lokální sítě prostřednictvím bezdrátové Wi-Fi, provádění jednosměrné datové komunikace prostřednictvím elektrického portu pomocí standardního </w:t>
      </w:r>
      <w:r>
        <w:rPr>
          <w:sz w:val="16"/>
        </w:rPr>
        <w:t xml:space="preserve">protokolu </w:t>
      </w:r>
      <w:r>
        <w:rPr>
          <w:sz w:val="16"/>
        </w:rPr>
        <w:t>Wi-Fi (IEEE 802.11b/g/n)</w:t>
      </w:r>
      <w:r>
        <w:rPr>
          <w:sz w:val="16"/>
        </w:rPr>
        <w:t xml:space="preserve">. Modulační </w:t>
      </w:r>
      <w:r>
        <w:rPr>
          <w:sz w:val="16"/>
        </w:rPr>
        <w:t xml:space="preserve">režimy jsou BPSK, QPSK, QAM. </w:t>
      </w:r>
      <w:r>
        <w:rPr>
          <w:sz w:val="16"/>
        </w:rPr>
        <w:t xml:space="preserve">Pracovní </w:t>
      </w:r>
      <w:r>
        <w:rPr>
          <w:sz w:val="16"/>
        </w:rPr>
        <w:t xml:space="preserve">frekvenční rozsah je 2,412 GHz až 2,484 GHz. </w:t>
      </w:r>
      <w:r>
        <w:rPr>
          <w:sz w:val="16"/>
        </w:rPr>
        <w:t>Bezdrátové rychlosti jsou IEEE</w:t>
      </w:r>
      <w:r>
        <w:rPr>
          <w:sz w:val="16"/>
        </w:rPr>
        <w:t xml:space="preserve"> 802.11b: 1 až 11 </w:t>
      </w:r>
      <w:r>
        <w:rPr>
          <w:sz w:val="16"/>
        </w:rPr>
        <w:t xml:space="preserve">Mbps, </w:t>
      </w:r>
      <w:r>
        <w:rPr>
          <w:sz w:val="16"/>
        </w:rPr>
        <w:t>IEEE</w:t>
      </w:r>
      <w:r>
        <w:rPr>
          <w:sz w:val="16"/>
        </w:rPr>
        <w:t xml:space="preserve"> 802.11g: 6 až 54 Mbps, IEEE 802.11n: 6,5 až 65 Mbps. Vysílací výkon je &lt; 20 dBm (požadavek CE: detekční režim – RMS). Soukromá šifrovací metoda Hawk Medical, komunikace s počítači je jednosměrný přenos dat, injekční pumpa odesílá data do počítače, </w:t>
      </w:r>
      <w:r>
        <w:rPr>
          <w:sz w:val="16"/>
        </w:rPr>
        <w:t xml:space="preserve">nepřijímá žádné </w:t>
      </w:r>
      <w:r>
        <w:rPr>
          <w:sz w:val="16"/>
        </w:rPr>
        <w:t>příkazy pro řízení</w:t>
      </w:r>
      <w:r>
        <w:rPr>
          <w:sz w:val="16"/>
        </w:rPr>
        <w:t xml:space="preserve"> infuze </w:t>
      </w:r>
      <w:r>
        <w:rPr>
          <w:spacing w:val="-1"/>
          <w:sz w:val="16"/>
        </w:rPr>
        <w:t>odeslan</w:t>
      </w:r>
      <w:r>
        <w:rPr>
          <w:sz w:val="16"/>
        </w:rPr>
        <w:t xml:space="preserve">é </w:t>
      </w:r>
      <w:r>
        <w:rPr>
          <w:sz w:val="16"/>
        </w:rPr>
        <w:t xml:space="preserve">počítačem </w:t>
      </w:r>
      <w:r>
        <w:rPr>
          <w:sz w:val="16"/>
        </w:rPr>
        <w:t xml:space="preserve">ani neodesílá žádné </w:t>
      </w:r>
      <w:r>
        <w:rPr>
          <w:sz w:val="16"/>
        </w:rPr>
        <w:t>provozní příkazy do počítače.</w:t>
      </w:r>
    </w:p>
    <w:p>
      <w:pPr>
        <w:pStyle w:val="BodyText"/>
        <w:spacing w:before="155" w:line="278" w:lineRule="auto"/>
      </w:pPr>
      <w:r>
        <w:rPr>
          <w:sz w:val="16"/>
        </w:rPr>
        <w:t xml:space="preserve">Konfigurace </w:t>
      </w:r>
      <w:r>
        <w:rPr>
          <w:sz w:val="16"/>
        </w:rPr>
        <w:t xml:space="preserve">funkce </w:t>
      </w:r>
      <w:r>
        <w:rPr>
          <w:sz w:val="16"/>
        </w:rPr>
        <w:t xml:space="preserve">zabezpečení </w:t>
      </w:r>
      <w:r>
        <w:rPr>
          <w:sz w:val="16"/>
        </w:rPr>
        <w:t>sítě</w:t>
      </w:r>
      <w:r>
        <w:rPr>
          <w:sz w:val="16"/>
        </w:rPr>
        <w:t xml:space="preserve">: </w:t>
      </w:r>
      <w:r>
        <w:rPr>
          <w:sz w:val="16"/>
        </w:rPr>
        <w:t xml:space="preserve">Typ </w:t>
      </w:r>
      <w:r>
        <w:rPr>
          <w:sz w:val="16"/>
        </w:rPr>
        <w:t xml:space="preserve">přenosu </w:t>
      </w:r>
      <w:r>
        <w:rPr>
          <w:sz w:val="16"/>
        </w:rPr>
        <w:t xml:space="preserve">dat </w:t>
      </w:r>
      <w:r>
        <w:rPr>
          <w:sz w:val="16"/>
        </w:rPr>
        <w:t xml:space="preserve">je </w:t>
      </w:r>
      <w:r>
        <w:rPr>
          <w:sz w:val="16"/>
        </w:rPr>
        <w:t xml:space="preserve">jednosměrný; </w:t>
      </w:r>
      <w:r>
        <w:rPr>
          <w:sz w:val="16"/>
        </w:rPr>
        <w:t>záznamy související se zařízením nelze smazat.</w:t>
      </w:r>
    </w:p>
    <w:p>
      <w:pPr>
        <w:pStyle w:val="BodyText"/>
        <w:spacing w:after="0" w:line="278" w:lineRule="auto"/>
        <w:sectPr>
          <w:pgSz w:w="8390" w:h="11910"/>
          <w:pgMar w:top="640" w:right="425" w:bottom="540" w:left="425" w:header="0" w:footer="342"/>
          <w:cols w:space="708"/>
        </w:sectPr>
      </w:pPr>
    </w:p>
    <w:p>
      <w:pPr>
        <w:pStyle w:val="BodyText"/>
        <w:spacing w:before="78" w:line="458" w:lineRule="auto"/>
        <w:ind w:right="1104"/>
      </w:pPr>
      <w:r>
        <w:rPr>
          <w:sz w:val="16"/>
        </w:rPr>
        <w:t xml:space="preserve">Bezpečnostní </w:t>
      </w:r>
      <w:r>
        <w:rPr>
          <w:sz w:val="16"/>
        </w:rPr>
        <w:t xml:space="preserve">mechanismus: Standardy: </w:t>
      </w:r>
      <w:r>
        <w:rPr>
          <w:sz w:val="16"/>
        </w:rPr>
        <w:t xml:space="preserve">WPA-PSK, </w:t>
      </w:r>
      <w:r>
        <w:rPr>
          <w:sz w:val="16"/>
        </w:rPr>
        <w:t xml:space="preserve">WPA2-PSK; </w:t>
      </w:r>
      <w:r>
        <w:rPr>
          <w:sz w:val="16"/>
        </w:rPr>
        <w:t xml:space="preserve">Šifrování: </w:t>
      </w:r>
      <w:r>
        <w:rPr>
          <w:sz w:val="16"/>
        </w:rPr>
        <w:t xml:space="preserve">TKIP, </w:t>
      </w:r>
      <w:r>
        <w:rPr>
          <w:sz w:val="16"/>
        </w:rPr>
        <w:t xml:space="preserve">AES. </w:t>
      </w:r>
      <w:r>
        <w:rPr>
          <w:sz w:val="16"/>
        </w:rPr>
        <w:t xml:space="preserve">Zálohování </w:t>
      </w:r>
      <w:r>
        <w:rPr>
          <w:sz w:val="16"/>
        </w:rPr>
        <w:t xml:space="preserve">dat </w:t>
      </w:r>
      <w:r>
        <w:rPr>
          <w:sz w:val="16"/>
        </w:rPr>
        <w:t xml:space="preserve">a </w:t>
      </w:r>
      <w:r>
        <w:rPr>
          <w:sz w:val="16"/>
        </w:rPr>
        <w:t xml:space="preserve">obnova </w:t>
      </w:r>
      <w:r>
        <w:rPr>
          <w:sz w:val="16"/>
        </w:rPr>
        <w:t>po havárii</w:t>
      </w:r>
      <w:r>
        <w:rPr>
          <w:sz w:val="16"/>
        </w:rPr>
        <w:t xml:space="preserve">: </w:t>
      </w:r>
      <w:r>
        <w:rPr>
          <w:sz w:val="16"/>
        </w:rPr>
        <w:t xml:space="preserve">Záznamy </w:t>
      </w:r>
      <w:r>
        <w:rPr>
          <w:sz w:val="16"/>
        </w:rPr>
        <w:t>související se</w:t>
      </w:r>
      <w:r>
        <w:rPr>
          <w:sz w:val="16"/>
        </w:rPr>
        <w:t xml:space="preserve"> zařízením </w:t>
      </w:r>
      <w:r>
        <w:rPr>
          <w:sz w:val="16"/>
        </w:rPr>
        <w:t xml:space="preserve">nelze </w:t>
      </w:r>
      <w:r>
        <w:rPr>
          <w:sz w:val="16"/>
        </w:rPr>
        <w:t xml:space="preserve">smazat. Provozní </w:t>
      </w:r>
      <w:r>
        <w:rPr>
          <w:sz w:val="16"/>
        </w:rPr>
        <w:t>prostředí:</w:t>
      </w:r>
    </w:p>
    <w:p>
      <w:pPr>
        <w:pStyle w:val="BodyText"/>
        <w:spacing w:before="2" w:line="278" w:lineRule="auto"/>
        <w:ind w:right="294"/>
      </w:pPr>
      <w:r>
        <w:rPr>
          <w:sz w:val="16"/>
        </w:rPr>
        <w:t xml:space="preserve">Softwarové </w:t>
      </w:r>
      <w:r>
        <w:rPr>
          <w:sz w:val="16"/>
        </w:rPr>
        <w:t xml:space="preserve">prostředí: WIN7 </w:t>
      </w:r>
      <w:r>
        <w:rPr>
          <w:sz w:val="16"/>
        </w:rPr>
        <w:t xml:space="preserve">a </w:t>
      </w:r>
      <w:r>
        <w:rPr>
          <w:sz w:val="16"/>
        </w:rPr>
        <w:t xml:space="preserve">kompatibilní </w:t>
      </w:r>
      <w:r>
        <w:rPr>
          <w:sz w:val="16"/>
        </w:rPr>
        <w:t xml:space="preserve">verze; </w:t>
      </w:r>
      <w:r>
        <w:rPr>
          <w:sz w:val="16"/>
        </w:rPr>
        <w:t xml:space="preserve">software Hawk </w:t>
      </w:r>
      <w:r>
        <w:rPr>
          <w:sz w:val="16"/>
        </w:rPr>
        <w:t xml:space="preserve">Infusion </w:t>
      </w:r>
      <w:r>
        <w:rPr>
          <w:sz w:val="16"/>
        </w:rPr>
        <w:t xml:space="preserve">Monitoring </w:t>
      </w:r>
      <w:r>
        <w:rPr>
          <w:sz w:val="16"/>
        </w:rPr>
        <w:t>Software (HK-M1000), verze softwaru: V01 a kompatibilní verze;</w:t>
      </w:r>
    </w:p>
    <w:p>
      <w:pPr>
        <w:pStyle w:val="BodyText"/>
        <w:spacing w:before="155"/>
      </w:pPr>
      <w:r>
        <w:rPr>
          <w:sz w:val="16"/>
        </w:rPr>
        <w:t xml:space="preserve">Hardwarové </w:t>
      </w:r>
      <w:r>
        <w:rPr>
          <w:spacing w:val="-2"/>
          <w:sz w:val="16"/>
        </w:rPr>
        <w:t>prostředí:</w:t>
      </w:r>
    </w:p>
    <w:p>
      <w:pPr>
        <w:pStyle w:val="BodyText"/>
        <w:spacing w:before="189"/>
      </w:pPr>
      <w:r>
        <w:rPr>
          <w:sz w:val="16"/>
        </w:rPr>
        <w:t xml:space="preserve">CPU: </w:t>
      </w:r>
      <w:r>
        <w:rPr>
          <w:sz w:val="16"/>
        </w:rPr>
        <w:t xml:space="preserve">Intel </w:t>
      </w:r>
      <w:r>
        <w:rPr>
          <w:sz w:val="16"/>
        </w:rPr>
        <w:t xml:space="preserve">i3, </w:t>
      </w:r>
      <w:r>
        <w:rPr>
          <w:sz w:val="16"/>
        </w:rPr>
        <w:t xml:space="preserve">paměť: </w:t>
      </w:r>
      <w:r>
        <w:rPr>
          <w:sz w:val="16"/>
        </w:rPr>
        <w:t xml:space="preserve">≥4 GB, </w:t>
      </w:r>
      <w:r>
        <w:rPr>
          <w:sz w:val="16"/>
        </w:rPr>
        <w:t xml:space="preserve">pevný </w:t>
      </w:r>
      <w:r>
        <w:rPr>
          <w:sz w:val="16"/>
        </w:rPr>
        <w:t xml:space="preserve">disk: </w:t>
      </w:r>
      <w:r>
        <w:rPr>
          <w:sz w:val="16"/>
        </w:rPr>
        <w:t xml:space="preserve">≥200 GB </w:t>
      </w:r>
      <w:r>
        <w:rPr>
          <w:sz w:val="16"/>
        </w:rPr>
        <w:t xml:space="preserve">volného </w:t>
      </w:r>
      <w:r>
        <w:rPr>
          <w:sz w:val="16"/>
        </w:rPr>
        <w:t xml:space="preserve">místa, </w:t>
      </w:r>
      <w:r>
        <w:rPr>
          <w:spacing w:val="-2"/>
          <w:sz w:val="16"/>
        </w:rPr>
        <w:t xml:space="preserve">rozlišení </w:t>
      </w:r>
      <w:r>
        <w:rPr>
          <w:sz w:val="16"/>
        </w:rPr>
        <w:t>obrazovky</w:t>
      </w:r>
      <w:r>
        <w:rPr>
          <w:spacing w:val="-2"/>
          <w:sz w:val="16"/>
        </w:rPr>
        <w:t>:</w:t>
      </w:r>
    </w:p>
    <w:p>
      <w:pPr>
        <w:pStyle w:val="BodyText"/>
        <w:spacing w:before="33"/>
      </w:pPr>
      <w:r>
        <w:rPr>
          <w:spacing w:val="-2"/>
          <w:sz w:val="16"/>
        </w:rPr>
        <w:t>≥1920*1080</w:t>
      </w:r>
    </w:p>
    <w:p>
      <w:pPr>
        <w:pStyle w:val="BodyText"/>
        <w:spacing w:before="189" w:line="278" w:lineRule="auto"/>
        <w:ind w:right="308"/>
      </w:pPr>
      <w:r>
        <w:rPr>
          <w:sz w:val="16"/>
        </w:rPr>
        <w:t xml:space="preserve">Síťové prostředí: Síťová </w:t>
      </w:r>
      <w:r>
        <w:rPr>
          <w:sz w:val="16"/>
        </w:rPr>
        <w:t>architektura: C/S; Typ sítě: LAN; Šířka pásma sítě: Ne méně než 100 Mbps</w:t>
      </w:r>
    </w:p>
    <w:p>
      <w:pPr>
        <w:pStyle w:val="BodyText"/>
        <w:spacing w:after="0" w:line="278" w:lineRule="auto"/>
        <w:sectPr>
          <w:pgSz w:w="8390" w:h="11910"/>
          <w:pgMar w:top="660" w:right="425" w:bottom="540" w:left="425" w:header="0" w:footer="342"/>
          <w:cols w:space="708"/>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57"/>
        <w:ind w:left="0"/>
        <w:rPr>
          <w:sz w:val="20"/>
        </w:rPr>
      </w:pPr>
    </w:p>
    <w:p>
      <w:pPr>
        <w:spacing w:line="240" w:lineRule="auto"/>
        <w:ind w:left="12" w:right="0" w:firstLine="0"/>
        <w:rPr>
          <w:sz w:val="20"/>
        </w:rPr>
      </w:pPr>
      <w:r>
        <w:rPr>
          <w:sz w:val="20"/>
        </w:rPr>
        <w:drawing>
          <wp:inline distT="0" distB="0" distL="0" distR="0">
            <wp:extent cx="210719" cy="192786"/>
            <wp:effectExtent l="0" t="0" r="0" b="0"/>
            <wp:docPr id="128" name="Image 128"/>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xmlns:r="http://schemas.openxmlformats.org/officeDocument/2006/relationships" r:embed="rId87" cstate="print"/>
                    <a:stretch>
                      <a:fillRect/>
                    </a:stretch>
                  </pic:blipFill>
                  <pic:spPr>
                    <a:xfrm>
                      <a:off x="0" y="0"/>
                      <a:ext cx="210719" cy="192786"/>
                    </a:xfrm>
                    <a:prstGeom prst="rect">
                      <a:avLst/>
                    </a:prstGeom>
                  </pic:spPr>
                </pic:pic>
              </a:graphicData>
            </a:graphic>
          </wp:inline>
        </w:drawing>
      </w:r>
    </w:p>
    <w:p>
      <w:pPr>
        <w:spacing w:before="100"/>
        <w:ind w:left="12" w:right="0" w:firstLine="0"/>
        <w:jc w:val="left"/>
        <w:rPr>
          <w:b/>
          <w:sz w:val="18"/>
        </w:rPr>
      </w:pPr>
      <w:r>
        <w:rPr>
          <w:b/>
          <w:sz w:val="16"/>
        </w:rPr>
        <w:t xml:space="preserve">Shenzhen </w:t>
      </w:r>
      <w:r>
        <w:rPr>
          <w:b/>
          <w:sz w:val="16"/>
        </w:rPr>
        <w:t xml:space="preserve">Hawk </w:t>
      </w:r>
      <w:r>
        <w:rPr>
          <w:b/>
          <w:sz w:val="16"/>
        </w:rPr>
        <w:t xml:space="preserve">Medical Instrument </w:t>
      </w:r>
      <w:r>
        <w:rPr>
          <w:b/>
          <w:sz w:val="16"/>
        </w:rPr>
        <w:t xml:space="preserve">Co., </w:t>
      </w:r>
      <w:r>
        <w:rPr>
          <w:b/>
          <w:spacing w:val="-5"/>
          <w:sz w:val="16"/>
        </w:rPr>
        <w:t>Ltd</w:t>
      </w:r>
    </w:p>
    <w:p>
      <w:pPr>
        <w:spacing w:before="101" w:line="355" w:lineRule="auto"/>
        <w:ind w:left="12" w:right="2562" w:firstLine="0"/>
        <w:jc w:val="left"/>
        <w:rPr>
          <w:b/>
          <w:sz w:val="18"/>
        </w:rPr>
      </w:pPr>
      <w:r>
        <w:rPr>
          <w:b/>
          <w:sz w:val="16"/>
        </w:rPr>
        <w:t xml:space="preserve">1. až 4. </w:t>
      </w:r>
      <w:r>
        <w:rPr>
          <w:b/>
          <w:sz w:val="16"/>
        </w:rPr>
        <w:t xml:space="preserve">patro, </w:t>
      </w:r>
      <w:r>
        <w:rPr>
          <w:b/>
          <w:sz w:val="16"/>
        </w:rPr>
        <w:t xml:space="preserve">budova </w:t>
      </w:r>
      <w:r>
        <w:rPr>
          <w:b/>
          <w:sz w:val="16"/>
        </w:rPr>
        <w:t xml:space="preserve">C, </w:t>
      </w:r>
      <w:r>
        <w:rPr>
          <w:b/>
          <w:sz w:val="16"/>
        </w:rPr>
        <w:t xml:space="preserve">průmyslová </w:t>
      </w:r>
      <w:r>
        <w:rPr>
          <w:b/>
          <w:sz w:val="16"/>
        </w:rPr>
        <w:t xml:space="preserve">zóna </w:t>
      </w:r>
      <w:r>
        <w:rPr>
          <w:b/>
          <w:sz w:val="16"/>
        </w:rPr>
        <w:t>Jianyetai</w:t>
      </w:r>
      <w:r>
        <w:rPr>
          <w:b/>
          <w:sz w:val="16"/>
        </w:rPr>
        <w:t>, č. 11 Minhuan Road, komunita Fukang, ulice Longhua, okres Longhua, Shenzhen, 518109 Guangdong, Čínská lidová republika</w:t>
      </w:r>
    </w:p>
    <w:p>
      <w:pPr>
        <w:pStyle w:val="BodyText"/>
        <w:spacing w:before="94"/>
        <w:ind w:left="0"/>
        <w:rPr>
          <w:b/>
        </w:rPr>
      </w:pPr>
    </w:p>
    <w:p>
      <w:pPr>
        <w:spacing w:before="0"/>
        <w:ind w:left="12" w:right="0" w:firstLine="0"/>
        <w:jc w:val="left"/>
        <w:rPr>
          <w:b/>
          <w:sz w:val="18"/>
        </w:rPr>
      </w:pPr>
      <w:r>
        <w:rPr>
          <w:b/>
          <w:sz w:val="16"/>
        </w:rPr>
        <w:t>Tel.:</w:t>
      </w:r>
      <w:r>
        <w:rPr>
          <w:b/>
          <w:spacing w:val="-2"/>
          <w:sz w:val="16"/>
        </w:rPr>
        <w:t xml:space="preserve"> 0086-755-83151901</w:t>
      </w:r>
    </w:p>
    <w:p>
      <w:pPr>
        <w:spacing w:before="100"/>
        <w:ind w:left="12" w:right="0" w:firstLine="0"/>
        <w:jc w:val="left"/>
        <w:rPr>
          <w:b/>
          <w:sz w:val="18"/>
        </w:rPr>
      </w:pPr>
      <w:r>
        <w:rPr>
          <w:b/>
          <w:sz w:val="16"/>
        </w:rPr>
        <w:t>Fax:</w:t>
      </w:r>
      <w:r>
        <w:rPr>
          <w:b/>
          <w:spacing w:val="-2"/>
          <w:sz w:val="16"/>
        </w:rPr>
        <w:t xml:space="preserve"> 0086-755-83151906</w:t>
      </w:r>
    </w:p>
    <w:p>
      <w:pPr>
        <w:spacing w:before="98" w:line="352" w:lineRule="auto"/>
        <w:ind w:left="12" w:right="4059" w:firstLine="0"/>
        <w:jc w:val="left"/>
        <w:rPr>
          <w:b/>
          <w:sz w:val="18"/>
        </w:rPr>
      </w:pPr>
      <w:r>
        <w:rPr>
          <w:b/>
          <w:sz w:val="16"/>
        </w:rPr>
        <w:t>E-mail:</w:t>
      </w:r>
      <w:hyperlink r:id="rId88">
        <w:r>
          <w:rPr>
            <w:b/>
            <w:sz w:val="16"/>
          </w:rPr>
          <w:t>szhk@hawkmedical.cn</w:t>
        </w:r>
      </w:hyperlink>
      <w:r>
        <w:rPr>
          <w:b/>
          <w:sz w:val="16"/>
        </w:rPr>
        <w:t xml:space="preserve"> Webové stránky: </w:t>
      </w:r>
      <w:hyperlink r:id="rId89">
        <w:r>
          <w:rPr>
            <w:b/>
            <w:sz w:val="16"/>
            <w:u w:val="single"/>
          </w:rPr>
          <w:t>www.hawkmed.com.cn</w:t>
        </w:r>
      </w:hyperlink>
    </w:p>
    <w:sectPr>
      <w:footerReference w:type="default" r:id="rId90"/>
      <w:pgSz w:w="8420" w:h="11910"/>
      <w:pgMar w:top="1340" w:right="1133" w:bottom="280" w:left="708" w:header="0" w:foo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1"/>
    <w:family w:val="roman"/>
    <w:pitch w:val="variable"/>
  </w:font>
  <w:font w:name="Calibri">
    <w:altName w:val="Calibri"/>
    <w:charset w:val="01"/>
    <w:family w:val="swiss"/>
    <w:pitch w:val="variable"/>
  </w:font>
  <w:font w:name="Arial Unicode MS">
    <w:altName w:val="Arial Unicode MS"/>
    <w:charset w:val="01"/>
    <w:family w:val="swiss"/>
    <w:pitch w:val="variable"/>
  </w:font>
  <w:font w:name="Noto Sans CJK JP">
    <w:altName w:val="Noto Sans CJK JP"/>
    <w:charset w:val="01"/>
    <w:family w:val="swiss"/>
    <w:pitch w:val="variable"/>
  </w:font>
  <w:font w:name="Noto Sans Symbols2">
    <w:altName w:val="Noto Sans Symbols2"/>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0" w:line="14" w:lineRule="auto"/>
      <w:ind w:left="0"/>
      <w:rPr>
        <w:sz w:val="20"/>
      </w:rPr>
    </w:pPr>
    <w:r>
      <w:rPr>
        <w:sz w:val="20"/>
      </w:rPr>
      <mc:AlternateContent>
        <mc:Choice Requires="wps">
          <w:drawing>
            <wp:anchor distT="0" distB="0" distL="0" distR="0" simplePos="0" relativeHeight="251658240" behindDoc="1" locked="0" layoutInCell="1" allowOverlap="1">
              <wp:simplePos x="0" y="0"/>
              <wp:positionH relativeFrom="page">
                <wp:posOffset>2606039</wp:posOffset>
              </wp:positionH>
              <wp:positionV relativeFrom="page">
                <wp:posOffset>7204328</wp:posOffset>
              </wp:positionV>
              <wp:extent cx="147320" cy="152400"/>
              <wp:effectExtent l="0" t="0" r="0" b="0"/>
              <wp:wrapNone/>
              <wp:docPr id="1" name="Text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320" cy="152400"/>
                      </a:xfrm>
                      <a:prstGeom prst="rect">
                        <a:avLst/>
                      </a:prstGeom>
                    </wps:spPr>
                    <wps:txbx>
                      <w:txbxContent>
                        <w:p>
                          <w:pPr>
                            <w:pStyle w:val="BodyText"/>
                            <w:spacing w:before="12"/>
                            <w:ind w:left="31"/>
                          </w:pPr>
                          <w:r>
                            <w:rPr>
                              <w:spacing w:val="-5"/>
                            </w:rPr>
                            <w:fldChar w:fldCharType="begin"/>
                          </w:r>
                          <w:r>
                            <w:rPr>
                              <w:spacing w:val="-5"/>
                              <w:sz w:val="16"/>
                            </w:rPr>
                            <w:instrText xml:space="preserve"> PAGE  \* ROMAN </w:instrText>
                          </w:r>
                          <w:r>
                            <w:rPr>
                              <w:spacing w:val="-5"/>
                            </w:rPr>
                            <w:fldChar w:fldCharType="separate"/>
                          </w:r>
                          <w:r>
                            <w:rPr>
                              <w:spacing w:val="-5"/>
                              <w:sz w:val="16"/>
                            </w:rPr>
                            <w:t>II</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2049" type="#_x0000_t202" style="width:11.6pt;height:12pt;margin-top:567.27pt;margin-left:205.2pt;mso-position-horizontal-relative:page;mso-position-vertical-relative:page;position:absolute;z-index:-251657216" filled="f" stroked="f">
              <v:textbox inset="0,0,0,0">
                <w:txbxContent>
                  <w:p>
                    <w:pPr>
                      <w:pStyle w:val="BodyText"/>
                      <w:spacing w:before="12"/>
                      <w:ind w:left="31"/>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0" w:line="14" w:lineRule="auto"/>
      <w:ind w:left="0"/>
      <w:rPr>
        <w:sz w:val="20"/>
      </w:rPr>
    </w:pPr>
    <w:r>
      <w:rPr>
        <w:sz w:val="20"/>
      </w:rPr>
      <mc:AlternateContent>
        <mc:Choice Requires="wps">
          <w:drawing>
            <wp:anchor distT="0" distB="0" distL="0" distR="0" simplePos="0" relativeHeight="251661312" behindDoc="1" locked="0" layoutInCell="1" allowOverlap="1">
              <wp:simplePos x="0" y="0"/>
              <wp:positionH relativeFrom="page">
                <wp:posOffset>2558795</wp:posOffset>
              </wp:positionH>
              <wp:positionV relativeFrom="page">
                <wp:posOffset>7204328</wp:posOffset>
              </wp:positionV>
              <wp:extent cx="166370" cy="152400"/>
              <wp:effectExtent l="0" t="0" r="0" b="0"/>
              <wp:wrapNone/>
              <wp:docPr id="2" name="Text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66370" cy="152400"/>
                      </a:xfrm>
                      <a:prstGeom prst="rect">
                        <a:avLst/>
                      </a:prstGeom>
                    </wps:spPr>
                    <wps:txbx>
                      <w:txbxContent>
                        <w:p>
                          <w:pPr>
                            <w:pStyle w:val="BodyText"/>
                            <w:spacing w:before="12"/>
                            <w:ind w:left="60"/>
                          </w:pPr>
                          <w:r>
                            <w:rPr>
                              <w:spacing w:val="-5"/>
                            </w:rPr>
                            <w:fldChar w:fldCharType="begin"/>
                          </w:r>
                          <w:r>
                            <w:rPr>
                              <w:spacing w:val="-5"/>
                              <w:sz w:val="16"/>
                            </w:rPr>
                            <w:instrText xml:space="preserve"> PAGE </w:instrText>
                          </w:r>
                          <w:r>
                            <w:rPr>
                              <w:spacing w:val="-5"/>
                            </w:rPr>
                            <w:fldChar w:fldCharType="separate"/>
                          </w:r>
                          <w:r>
                            <w:rPr>
                              <w:spacing w:val="-5"/>
                              <w:sz w:val="16"/>
                            </w:rPr>
                            <w:t>56</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 o:spid="_x0000_s2050" type="#_x0000_t202" style="width:13.1pt;height:12pt;margin-top:567.27pt;margin-left:201.48pt;mso-position-horizontal-relative:page;mso-position-vertical-relative:page;mso-wrap-distance-bottom:0;mso-wrap-distance-left:0;mso-wrap-distance-right:0;mso-wrap-distance-top:0;position:absolute;v-text-anchor:top;z-index:-251656192" fillcolor="this">
              <v:textbox inset="0,0,0,0">
                <w:txbxContent>
                  <w:p>
                    <w:pPr>
                      <w:pStyle w:val="BodyText"/>
                      <w:spacing w:before="12"/>
                      <w:ind w:left="60"/>
                    </w:pPr>
                    <w:r>
                      <w:rPr>
                        <w:spacing w:val="-5"/>
                      </w:rPr>
                      <w:fldChar w:fldCharType="begin"/>
                    </w:r>
                    <w:r>
                      <w:rPr>
                        <w:spacing w:val="-5"/>
                        <w:sz w:val="16"/>
                      </w:rPr>
                      <w:instrText xml:space="preserve"> PAGE </w:instrText>
                    </w:r>
                    <w:r>
                      <w:rPr>
                        <w:spacing w:val="-5"/>
                      </w:rPr>
                      <w:fldChar w:fldCharType="separate"/>
                    </w:r>
                    <w:r>
                      <w:rPr>
                        <w:spacing w:val="-5"/>
                        <w:sz w:val="16"/>
                      </w:rPr>
                      <w:t>56</w:t>
                    </w:r>
                    <w:r>
                      <w:rPr>
                        <w:spacing w:val="-5"/>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0" w:line="14" w:lineRule="auto"/>
      <w:ind w:left="0"/>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4EDB7F"/>
    <w:multiLevelType w:val="hybridMultilevel"/>
    <w:tmpl w:val="00000000"/>
    <w:lvl w:ilvl="0">
      <w:start w:val="3"/>
      <w:numFmt w:val="decimal"/>
      <w:lvlText w:val="%1."/>
      <w:lvlJc w:val="left"/>
      <w:pPr>
        <w:ind w:left="683"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867" w:hanging="180"/>
      </w:pPr>
      <w:rPr>
        <w:rFonts w:hint="default"/>
        <w:lang w:val="en-US" w:eastAsia="en-US" w:bidi="ar-SA"/>
      </w:rPr>
    </w:lvl>
    <w:lvl w:ilvl="2">
      <w:start w:val="0"/>
      <w:numFmt w:val="bullet"/>
      <w:lvlText w:val="•"/>
      <w:lvlJc w:val="left"/>
      <w:pPr>
        <w:ind w:left="1054" w:hanging="180"/>
      </w:pPr>
      <w:rPr>
        <w:rFonts w:hint="default"/>
        <w:lang w:val="en-US" w:eastAsia="en-US" w:bidi="ar-SA"/>
      </w:rPr>
    </w:lvl>
    <w:lvl w:ilvl="3">
      <w:start w:val="0"/>
      <w:numFmt w:val="bullet"/>
      <w:lvlText w:val="•"/>
      <w:lvlJc w:val="left"/>
      <w:pPr>
        <w:ind w:left="1241" w:hanging="180"/>
      </w:pPr>
      <w:rPr>
        <w:rFonts w:hint="default"/>
        <w:lang w:val="en-US" w:eastAsia="en-US" w:bidi="ar-SA"/>
      </w:rPr>
    </w:lvl>
    <w:lvl w:ilvl="4">
      <w:start w:val="0"/>
      <w:numFmt w:val="bullet"/>
      <w:lvlText w:val="•"/>
      <w:lvlJc w:val="left"/>
      <w:pPr>
        <w:ind w:left="1428" w:hanging="180"/>
      </w:pPr>
      <w:rPr>
        <w:rFonts w:hint="default"/>
        <w:lang w:val="en-US" w:eastAsia="en-US" w:bidi="ar-SA"/>
      </w:rPr>
    </w:lvl>
    <w:lvl w:ilvl="5">
      <w:start w:val="0"/>
      <w:numFmt w:val="bullet"/>
      <w:lvlText w:val="•"/>
      <w:lvlJc w:val="left"/>
      <w:pPr>
        <w:ind w:left="1616" w:hanging="180"/>
      </w:pPr>
      <w:rPr>
        <w:rFonts w:hint="default"/>
        <w:lang w:val="en-US" w:eastAsia="en-US" w:bidi="ar-SA"/>
      </w:rPr>
    </w:lvl>
    <w:lvl w:ilvl="6">
      <w:start w:val="0"/>
      <w:numFmt w:val="bullet"/>
      <w:lvlText w:val="•"/>
      <w:lvlJc w:val="left"/>
      <w:pPr>
        <w:ind w:left="1803" w:hanging="180"/>
      </w:pPr>
      <w:rPr>
        <w:rFonts w:hint="default"/>
        <w:lang w:val="en-US" w:eastAsia="en-US" w:bidi="ar-SA"/>
      </w:rPr>
    </w:lvl>
    <w:lvl w:ilvl="7">
      <w:start w:val="0"/>
      <w:numFmt w:val="bullet"/>
      <w:lvlText w:val="•"/>
      <w:lvlJc w:val="left"/>
      <w:pPr>
        <w:ind w:left="1990" w:hanging="180"/>
      </w:pPr>
      <w:rPr>
        <w:rFonts w:hint="default"/>
        <w:lang w:val="en-US" w:eastAsia="en-US" w:bidi="ar-SA"/>
      </w:rPr>
    </w:lvl>
    <w:lvl w:ilvl="8">
      <w:start w:val="0"/>
      <w:numFmt w:val="bullet"/>
      <w:lvlText w:val="•"/>
      <w:lvlJc w:val="left"/>
      <w:pPr>
        <w:ind w:left="2177" w:hanging="180"/>
      </w:pPr>
      <w:rPr>
        <w:rFonts w:hint="default"/>
        <w:lang w:val="en-US" w:eastAsia="en-US" w:bidi="ar-SA"/>
      </w:rPr>
    </w:lvl>
  </w:abstractNum>
  <w:abstractNum w:abstractNumId="1">
    <w:nsid w:val="028E97FC"/>
    <w:multiLevelType w:val="hybridMultilevel"/>
    <w:tmpl w:val="00000000"/>
    <w:lvl w:ilvl="0">
      <w:start w:val="1"/>
      <w:numFmt w:val="upperLetter"/>
      <w:lvlText w:val="%1)"/>
      <w:lvlJc w:val="left"/>
      <w:pPr>
        <w:ind w:left="295" w:hanging="236"/>
        <w:jc w:val="left"/>
      </w:pPr>
      <w:rPr>
        <w:rFonts w:ascii="Times New Roman" w:eastAsia="Times New Roman" w:hAnsi="Times New Roman" w:cs="Times New Roman" w:hint="default"/>
        <w:b w:val="0"/>
        <w:bCs w:val="0"/>
        <w:i w:val="0"/>
        <w:iCs w:val="0"/>
        <w:spacing w:val="-1"/>
        <w:w w:val="100"/>
        <w:sz w:val="18"/>
        <w:szCs w:val="18"/>
        <w:lang w:val="en-US" w:eastAsia="en-US" w:bidi="ar-SA"/>
      </w:rPr>
    </w:lvl>
    <w:lvl w:ilvl="1">
      <w:start w:val="0"/>
      <w:numFmt w:val="bullet"/>
      <w:lvlText w:val="•"/>
      <w:lvlJc w:val="left"/>
      <w:pPr>
        <w:ind w:left="1024" w:hanging="236"/>
      </w:pPr>
      <w:rPr>
        <w:rFonts w:hint="default"/>
        <w:lang w:val="en-US" w:eastAsia="en-US" w:bidi="ar-SA"/>
      </w:rPr>
    </w:lvl>
    <w:lvl w:ilvl="2">
      <w:start w:val="0"/>
      <w:numFmt w:val="bullet"/>
      <w:lvlText w:val="•"/>
      <w:lvlJc w:val="left"/>
      <w:pPr>
        <w:ind w:left="1748" w:hanging="236"/>
      </w:pPr>
      <w:rPr>
        <w:rFonts w:hint="default"/>
        <w:lang w:val="en-US" w:eastAsia="en-US" w:bidi="ar-SA"/>
      </w:rPr>
    </w:lvl>
    <w:lvl w:ilvl="3">
      <w:start w:val="0"/>
      <w:numFmt w:val="bullet"/>
      <w:lvlText w:val="•"/>
      <w:lvlJc w:val="left"/>
      <w:pPr>
        <w:ind w:left="2472" w:hanging="236"/>
      </w:pPr>
      <w:rPr>
        <w:rFonts w:hint="default"/>
        <w:lang w:val="en-US" w:eastAsia="en-US" w:bidi="ar-SA"/>
      </w:rPr>
    </w:lvl>
    <w:lvl w:ilvl="4">
      <w:start w:val="0"/>
      <w:numFmt w:val="bullet"/>
      <w:lvlText w:val="•"/>
      <w:lvlJc w:val="left"/>
      <w:pPr>
        <w:ind w:left="3196" w:hanging="236"/>
      </w:pPr>
      <w:rPr>
        <w:rFonts w:hint="default"/>
        <w:lang w:val="en-US" w:eastAsia="en-US" w:bidi="ar-SA"/>
      </w:rPr>
    </w:lvl>
    <w:lvl w:ilvl="5">
      <w:start w:val="0"/>
      <w:numFmt w:val="bullet"/>
      <w:lvlText w:val="•"/>
      <w:lvlJc w:val="left"/>
      <w:pPr>
        <w:ind w:left="3920" w:hanging="236"/>
      </w:pPr>
      <w:rPr>
        <w:rFonts w:hint="default"/>
        <w:lang w:val="en-US" w:eastAsia="en-US" w:bidi="ar-SA"/>
      </w:rPr>
    </w:lvl>
    <w:lvl w:ilvl="6">
      <w:start w:val="0"/>
      <w:numFmt w:val="bullet"/>
      <w:lvlText w:val="•"/>
      <w:lvlJc w:val="left"/>
      <w:pPr>
        <w:ind w:left="4644" w:hanging="236"/>
      </w:pPr>
      <w:rPr>
        <w:rFonts w:hint="default"/>
        <w:lang w:val="en-US" w:eastAsia="en-US" w:bidi="ar-SA"/>
      </w:rPr>
    </w:lvl>
    <w:lvl w:ilvl="7">
      <w:start w:val="0"/>
      <w:numFmt w:val="bullet"/>
      <w:lvlText w:val="•"/>
      <w:lvlJc w:val="left"/>
      <w:pPr>
        <w:ind w:left="5368" w:hanging="236"/>
      </w:pPr>
      <w:rPr>
        <w:rFonts w:hint="default"/>
        <w:lang w:val="en-US" w:eastAsia="en-US" w:bidi="ar-SA"/>
      </w:rPr>
    </w:lvl>
    <w:lvl w:ilvl="8">
      <w:start w:val="0"/>
      <w:numFmt w:val="bullet"/>
      <w:lvlText w:val="•"/>
      <w:lvlJc w:val="left"/>
      <w:pPr>
        <w:ind w:left="6092" w:hanging="236"/>
      </w:pPr>
      <w:rPr>
        <w:rFonts w:hint="default"/>
        <w:lang w:val="en-US" w:eastAsia="en-US" w:bidi="ar-SA"/>
      </w:rPr>
    </w:lvl>
  </w:abstractNum>
  <w:abstractNum w:abstractNumId="2">
    <w:nsid w:val="035C34A7"/>
    <w:multiLevelType w:val="hybridMultilevel"/>
    <w:tmpl w:val="00000000"/>
    <w:lvl w:ilvl="0">
      <w:start w:val="1"/>
      <w:numFmt w:val="decimal"/>
      <w:lvlText w:val="%1)"/>
      <w:lvlJc w:val="left"/>
      <w:pPr>
        <w:ind w:left="295" w:hanging="214"/>
        <w:jc w:val="left"/>
      </w:pPr>
      <w:rPr>
        <w:rFonts w:hint="default"/>
        <w:spacing w:val="0"/>
        <w:w w:val="100"/>
        <w:lang w:val="en-US" w:eastAsia="en-US" w:bidi="ar-SA"/>
      </w:rPr>
    </w:lvl>
    <w:lvl w:ilvl="1">
      <w:start w:val="0"/>
      <w:numFmt w:val="bullet"/>
      <w:lvlText w:val="•"/>
      <w:lvlJc w:val="left"/>
      <w:pPr>
        <w:ind w:left="1024" w:hanging="214"/>
      </w:pPr>
      <w:rPr>
        <w:rFonts w:hint="default"/>
        <w:lang w:val="en-US" w:eastAsia="en-US" w:bidi="ar-SA"/>
      </w:rPr>
    </w:lvl>
    <w:lvl w:ilvl="2">
      <w:start w:val="0"/>
      <w:numFmt w:val="bullet"/>
      <w:lvlText w:val="•"/>
      <w:lvlJc w:val="left"/>
      <w:pPr>
        <w:ind w:left="1748" w:hanging="214"/>
      </w:pPr>
      <w:rPr>
        <w:rFonts w:hint="default"/>
        <w:lang w:val="en-US" w:eastAsia="en-US" w:bidi="ar-SA"/>
      </w:rPr>
    </w:lvl>
    <w:lvl w:ilvl="3">
      <w:start w:val="0"/>
      <w:numFmt w:val="bullet"/>
      <w:lvlText w:val="•"/>
      <w:lvlJc w:val="left"/>
      <w:pPr>
        <w:ind w:left="2472" w:hanging="214"/>
      </w:pPr>
      <w:rPr>
        <w:rFonts w:hint="default"/>
        <w:lang w:val="en-US" w:eastAsia="en-US" w:bidi="ar-SA"/>
      </w:rPr>
    </w:lvl>
    <w:lvl w:ilvl="4">
      <w:start w:val="0"/>
      <w:numFmt w:val="bullet"/>
      <w:lvlText w:val="•"/>
      <w:lvlJc w:val="left"/>
      <w:pPr>
        <w:ind w:left="3196" w:hanging="214"/>
      </w:pPr>
      <w:rPr>
        <w:rFonts w:hint="default"/>
        <w:lang w:val="en-US" w:eastAsia="en-US" w:bidi="ar-SA"/>
      </w:rPr>
    </w:lvl>
    <w:lvl w:ilvl="5">
      <w:start w:val="0"/>
      <w:numFmt w:val="bullet"/>
      <w:lvlText w:val="•"/>
      <w:lvlJc w:val="left"/>
      <w:pPr>
        <w:ind w:left="3920" w:hanging="214"/>
      </w:pPr>
      <w:rPr>
        <w:rFonts w:hint="default"/>
        <w:lang w:val="en-US" w:eastAsia="en-US" w:bidi="ar-SA"/>
      </w:rPr>
    </w:lvl>
    <w:lvl w:ilvl="6">
      <w:start w:val="0"/>
      <w:numFmt w:val="bullet"/>
      <w:lvlText w:val="•"/>
      <w:lvlJc w:val="left"/>
      <w:pPr>
        <w:ind w:left="4644" w:hanging="214"/>
      </w:pPr>
      <w:rPr>
        <w:rFonts w:hint="default"/>
        <w:lang w:val="en-US" w:eastAsia="en-US" w:bidi="ar-SA"/>
      </w:rPr>
    </w:lvl>
    <w:lvl w:ilvl="7">
      <w:start w:val="0"/>
      <w:numFmt w:val="bullet"/>
      <w:lvlText w:val="•"/>
      <w:lvlJc w:val="left"/>
      <w:pPr>
        <w:ind w:left="5368" w:hanging="214"/>
      </w:pPr>
      <w:rPr>
        <w:rFonts w:hint="default"/>
        <w:lang w:val="en-US" w:eastAsia="en-US" w:bidi="ar-SA"/>
      </w:rPr>
    </w:lvl>
    <w:lvl w:ilvl="8">
      <w:start w:val="0"/>
      <w:numFmt w:val="bullet"/>
      <w:lvlText w:val="•"/>
      <w:lvlJc w:val="left"/>
      <w:pPr>
        <w:ind w:left="6092" w:hanging="214"/>
      </w:pPr>
      <w:rPr>
        <w:rFonts w:hint="default"/>
        <w:lang w:val="en-US" w:eastAsia="en-US" w:bidi="ar-SA"/>
      </w:rPr>
    </w:lvl>
  </w:abstractNum>
  <w:abstractNum w:abstractNumId="3">
    <w:nsid w:val="04A0A6DB"/>
    <w:multiLevelType w:val="hybridMultilevel"/>
    <w:tmpl w:val="00000000"/>
    <w:lvl w:ilvl="0">
      <w:start w:val="1"/>
      <w:numFmt w:val="decimal"/>
      <w:lvlText w:val="(%1)"/>
      <w:lvlJc w:val="left"/>
      <w:pPr>
        <w:ind w:left="549" w:hanging="25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40" w:hanging="255"/>
      </w:pPr>
      <w:rPr>
        <w:rFonts w:hint="default"/>
        <w:lang w:val="en-US" w:eastAsia="en-US" w:bidi="ar-SA"/>
      </w:rPr>
    </w:lvl>
    <w:lvl w:ilvl="2">
      <w:start w:val="0"/>
      <w:numFmt w:val="bullet"/>
      <w:lvlText w:val="•"/>
      <w:lvlJc w:val="left"/>
      <w:pPr>
        <w:ind w:left="1940" w:hanging="255"/>
      </w:pPr>
      <w:rPr>
        <w:rFonts w:hint="default"/>
        <w:lang w:val="en-US" w:eastAsia="en-US" w:bidi="ar-SA"/>
      </w:rPr>
    </w:lvl>
    <w:lvl w:ilvl="3">
      <w:start w:val="0"/>
      <w:numFmt w:val="bullet"/>
      <w:lvlText w:val="•"/>
      <w:lvlJc w:val="left"/>
      <w:pPr>
        <w:ind w:left="2640" w:hanging="255"/>
      </w:pPr>
      <w:rPr>
        <w:rFonts w:hint="default"/>
        <w:lang w:val="en-US" w:eastAsia="en-US" w:bidi="ar-SA"/>
      </w:rPr>
    </w:lvl>
    <w:lvl w:ilvl="4">
      <w:start w:val="0"/>
      <w:numFmt w:val="bullet"/>
      <w:lvlText w:val="•"/>
      <w:lvlJc w:val="left"/>
      <w:pPr>
        <w:ind w:left="3340" w:hanging="255"/>
      </w:pPr>
      <w:rPr>
        <w:rFonts w:hint="default"/>
        <w:lang w:val="en-US" w:eastAsia="en-US" w:bidi="ar-SA"/>
      </w:rPr>
    </w:lvl>
    <w:lvl w:ilvl="5">
      <w:start w:val="0"/>
      <w:numFmt w:val="bullet"/>
      <w:lvlText w:val="•"/>
      <w:lvlJc w:val="left"/>
      <w:pPr>
        <w:ind w:left="4040" w:hanging="255"/>
      </w:pPr>
      <w:rPr>
        <w:rFonts w:hint="default"/>
        <w:lang w:val="en-US" w:eastAsia="en-US" w:bidi="ar-SA"/>
      </w:rPr>
    </w:lvl>
    <w:lvl w:ilvl="6">
      <w:start w:val="0"/>
      <w:numFmt w:val="bullet"/>
      <w:lvlText w:val="•"/>
      <w:lvlJc w:val="left"/>
      <w:pPr>
        <w:ind w:left="4740" w:hanging="255"/>
      </w:pPr>
      <w:rPr>
        <w:rFonts w:hint="default"/>
        <w:lang w:val="en-US" w:eastAsia="en-US" w:bidi="ar-SA"/>
      </w:rPr>
    </w:lvl>
    <w:lvl w:ilvl="7">
      <w:start w:val="0"/>
      <w:numFmt w:val="bullet"/>
      <w:lvlText w:val="•"/>
      <w:lvlJc w:val="left"/>
      <w:pPr>
        <w:ind w:left="5440" w:hanging="255"/>
      </w:pPr>
      <w:rPr>
        <w:rFonts w:hint="default"/>
        <w:lang w:val="en-US" w:eastAsia="en-US" w:bidi="ar-SA"/>
      </w:rPr>
    </w:lvl>
    <w:lvl w:ilvl="8">
      <w:start w:val="0"/>
      <w:numFmt w:val="bullet"/>
      <w:lvlText w:val="•"/>
      <w:lvlJc w:val="left"/>
      <w:pPr>
        <w:ind w:left="6140" w:hanging="255"/>
      </w:pPr>
      <w:rPr>
        <w:rFonts w:hint="default"/>
        <w:lang w:val="en-US" w:eastAsia="en-US" w:bidi="ar-SA"/>
      </w:rPr>
    </w:lvl>
  </w:abstractNum>
  <w:abstractNum w:abstractNumId="4">
    <w:nsid w:val="04AB8460"/>
    <w:multiLevelType w:val="hybridMultilevel"/>
    <w:tmpl w:val="00000000"/>
    <w:lvl w:ilvl="0">
      <w:start w:val="1"/>
      <w:numFmt w:val="decimal"/>
      <w:lvlText w:val="(%1)"/>
      <w:lvlJc w:val="left"/>
      <w:pPr>
        <w:ind w:left="295" w:hanging="25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024" w:hanging="255"/>
      </w:pPr>
      <w:rPr>
        <w:rFonts w:hint="default"/>
        <w:lang w:val="en-US" w:eastAsia="en-US" w:bidi="ar-SA"/>
      </w:rPr>
    </w:lvl>
    <w:lvl w:ilvl="2">
      <w:start w:val="0"/>
      <w:numFmt w:val="bullet"/>
      <w:lvlText w:val="•"/>
      <w:lvlJc w:val="left"/>
      <w:pPr>
        <w:ind w:left="1748" w:hanging="255"/>
      </w:pPr>
      <w:rPr>
        <w:rFonts w:hint="default"/>
        <w:lang w:val="en-US" w:eastAsia="en-US" w:bidi="ar-SA"/>
      </w:rPr>
    </w:lvl>
    <w:lvl w:ilvl="3">
      <w:start w:val="0"/>
      <w:numFmt w:val="bullet"/>
      <w:lvlText w:val="•"/>
      <w:lvlJc w:val="left"/>
      <w:pPr>
        <w:ind w:left="2472" w:hanging="255"/>
      </w:pPr>
      <w:rPr>
        <w:rFonts w:hint="default"/>
        <w:lang w:val="en-US" w:eastAsia="en-US" w:bidi="ar-SA"/>
      </w:rPr>
    </w:lvl>
    <w:lvl w:ilvl="4">
      <w:start w:val="0"/>
      <w:numFmt w:val="bullet"/>
      <w:lvlText w:val="•"/>
      <w:lvlJc w:val="left"/>
      <w:pPr>
        <w:ind w:left="3196" w:hanging="255"/>
      </w:pPr>
      <w:rPr>
        <w:rFonts w:hint="default"/>
        <w:lang w:val="en-US" w:eastAsia="en-US" w:bidi="ar-SA"/>
      </w:rPr>
    </w:lvl>
    <w:lvl w:ilvl="5">
      <w:start w:val="0"/>
      <w:numFmt w:val="bullet"/>
      <w:lvlText w:val="•"/>
      <w:lvlJc w:val="left"/>
      <w:pPr>
        <w:ind w:left="3920" w:hanging="255"/>
      </w:pPr>
      <w:rPr>
        <w:rFonts w:hint="default"/>
        <w:lang w:val="en-US" w:eastAsia="en-US" w:bidi="ar-SA"/>
      </w:rPr>
    </w:lvl>
    <w:lvl w:ilvl="6">
      <w:start w:val="0"/>
      <w:numFmt w:val="bullet"/>
      <w:lvlText w:val="•"/>
      <w:lvlJc w:val="left"/>
      <w:pPr>
        <w:ind w:left="4644" w:hanging="255"/>
      </w:pPr>
      <w:rPr>
        <w:rFonts w:hint="default"/>
        <w:lang w:val="en-US" w:eastAsia="en-US" w:bidi="ar-SA"/>
      </w:rPr>
    </w:lvl>
    <w:lvl w:ilvl="7">
      <w:start w:val="0"/>
      <w:numFmt w:val="bullet"/>
      <w:lvlText w:val="•"/>
      <w:lvlJc w:val="left"/>
      <w:pPr>
        <w:ind w:left="5368" w:hanging="255"/>
      </w:pPr>
      <w:rPr>
        <w:rFonts w:hint="default"/>
        <w:lang w:val="en-US" w:eastAsia="en-US" w:bidi="ar-SA"/>
      </w:rPr>
    </w:lvl>
    <w:lvl w:ilvl="8">
      <w:start w:val="0"/>
      <w:numFmt w:val="bullet"/>
      <w:lvlText w:val="•"/>
      <w:lvlJc w:val="left"/>
      <w:pPr>
        <w:ind w:left="6092" w:hanging="255"/>
      </w:pPr>
      <w:rPr>
        <w:rFonts w:hint="default"/>
        <w:lang w:val="en-US" w:eastAsia="en-US" w:bidi="ar-SA"/>
      </w:rPr>
    </w:lvl>
  </w:abstractNum>
  <w:abstractNum w:abstractNumId="5">
    <w:nsid w:val="07FA7473"/>
    <w:multiLevelType w:val="hybridMultilevel"/>
    <w:tmpl w:val="00000000"/>
    <w:lvl w:ilvl="0">
      <w:start w:val="6"/>
      <w:numFmt w:val="lowerLetter"/>
      <w:lvlText w:val="%1)"/>
      <w:lvlJc w:val="left"/>
      <w:pPr>
        <w:ind w:left="83" w:hanging="238"/>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624" w:hanging="238"/>
      </w:pPr>
      <w:rPr>
        <w:rFonts w:hint="default"/>
        <w:lang w:val="en-US" w:eastAsia="en-US" w:bidi="ar-SA"/>
      </w:rPr>
    </w:lvl>
    <w:lvl w:ilvl="2">
      <w:start w:val="0"/>
      <w:numFmt w:val="bullet"/>
      <w:lvlText w:val="•"/>
      <w:lvlJc w:val="left"/>
      <w:pPr>
        <w:ind w:left="1168" w:hanging="238"/>
      </w:pPr>
      <w:rPr>
        <w:rFonts w:hint="default"/>
        <w:lang w:val="en-US" w:eastAsia="en-US" w:bidi="ar-SA"/>
      </w:rPr>
    </w:lvl>
    <w:lvl w:ilvl="3">
      <w:start w:val="0"/>
      <w:numFmt w:val="bullet"/>
      <w:lvlText w:val="•"/>
      <w:lvlJc w:val="left"/>
      <w:pPr>
        <w:ind w:left="1712" w:hanging="238"/>
      </w:pPr>
      <w:rPr>
        <w:rFonts w:hint="default"/>
        <w:lang w:val="en-US" w:eastAsia="en-US" w:bidi="ar-SA"/>
      </w:rPr>
    </w:lvl>
    <w:lvl w:ilvl="4">
      <w:start w:val="0"/>
      <w:numFmt w:val="bullet"/>
      <w:lvlText w:val="•"/>
      <w:lvlJc w:val="left"/>
      <w:pPr>
        <w:ind w:left="2257" w:hanging="238"/>
      </w:pPr>
      <w:rPr>
        <w:rFonts w:hint="default"/>
        <w:lang w:val="en-US" w:eastAsia="en-US" w:bidi="ar-SA"/>
      </w:rPr>
    </w:lvl>
    <w:lvl w:ilvl="5">
      <w:start w:val="0"/>
      <w:numFmt w:val="bullet"/>
      <w:lvlText w:val="•"/>
      <w:lvlJc w:val="left"/>
      <w:pPr>
        <w:ind w:left="2801" w:hanging="238"/>
      </w:pPr>
      <w:rPr>
        <w:rFonts w:hint="default"/>
        <w:lang w:val="en-US" w:eastAsia="en-US" w:bidi="ar-SA"/>
      </w:rPr>
    </w:lvl>
    <w:lvl w:ilvl="6">
      <w:start w:val="0"/>
      <w:numFmt w:val="bullet"/>
      <w:lvlText w:val="•"/>
      <w:lvlJc w:val="left"/>
      <w:pPr>
        <w:ind w:left="3345" w:hanging="238"/>
      </w:pPr>
      <w:rPr>
        <w:rFonts w:hint="default"/>
        <w:lang w:val="en-US" w:eastAsia="en-US" w:bidi="ar-SA"/>
      </w:rPr>
    </w:lvl>
    <w:lvl w:ilvl="7">
      <w:start w:val="0"/>
      <w:numFmt w:val="bullet"/>
      <w:lvlText w:val="•"/>
      <w:lvlJc w:val="left"/>
      <w:pPr>
        <w:ind w:left="3890" w:hanging="238"/>
      </w:pPr>
      <w:rPr>
        <w:rFonts w:hint="default"/>
        <w:lang w:val="en-US" w:eastAsia="en-US" w:bidi="ar-SA"/>
      </w:rPr>
    </w:lvl>
    <w:lvl w:ilvl="8">
      <w:start w:val="0"/>
      <w:numFmt w:val="bullet"/>
      <w:lvlText w:val="•"/>
      <w:lvlJc w:val="left"/>
      <w:pPr>
        <w:ind w:left="4434" w:hanging="238"/>
      </w:pPr>
      <w:rPr>
        <w:rFonts w:hint="default"/>
        <w:lang w:val="en-US" w:eastAsia="en-US" w:bidi="ar-SA"/>
      </w:rPr>
    </w:lvl>
  </w:abstractNum>
  <w:abstractNum w:abstractNumId="6">
    <w:nsid w:val="0A2A6685"/>
    <w:multiLevelType w:val="hybridMultilevel"/>
    <w:tmpl w:val="00000000"/>
    <w:lvl w:ilvl="0">
      <w:start w:val="1"/>
      <w:numFmt w:val="decimal"/>
      <w:lvlText w:val="(%1)"/>
      <w:lvlJc w:val="left"/>
      <w:pPr>
        <w:ind w:left="549" w:hanging="25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40" w:hanging="255"/>
      </w:pPr>
      <w:rPr>
        <w:rFonts w:hint="default"/>
        <w:lang w:val="en-US" w:eastAsia="en-US" w:bidi="ar-SA"/>
      </w:rPr>
    </w:lvl>
    <w:lvl w:ilvl="2">
      <w:start w:val="0"/>
      <w:numFmt w:val="bullet"/>
      <w:lvlText w:val="•"/>
      <w:lvlJc w:val="left"/>
      <w:pPr>
        <w:ind w:left="1940" w:hanging="255"/>
      </w:pPr>
      <w:rPr>
        <w:rFonts w:hint="default"/>
        <w:lang w:val="en-US" w:eastAsia="en-US" w:bidi="ar-SA"/>
      </w:rPr>
    </w:lvl>
    <w:lvl w:ilvl="3">
      <w:start w:val="0"/>
      <w:numFmt w:val="bullet"/>
      <w:lvlText w:val="•"/>
      <w:lvlJc w:val="left"/>
      <w:pPr>
        <w:ind w:left="2640" w:hanging="255"/>
      </w:pPr>
      <w:rPr>
        <w:rFonts w:hint="default"/>
        <w:lang w:val="en-US" w:eastAsia="en-US" w:bidi="ar-SA"/>
      </w:rPr>
    </w:lvl>
    <w:lvl w:ilvl="4">
      <w:start w:val="0"/>
      <w:numFmt w:val="bullet"/>
      <w:lvlText w:val="•"/>
      <w:lvlJc w:val="left"/>
      <w:pPr>
        <w:ind w:left="3340" w:hanging="255"/>
      </w:pPr>
      <w:rPr>
        <w:rFonts w:hint="default"/>
        <w:lang w:val="en-US" w:eastAsia="en-US" w:bidi="ar-SA"/>
      </w:rPr>
    </w:lvl>
    <w:lvl w:ilvl="5">
      <w:start w:val="0"/>
      <w:numFmt w:val="bullet"/>
      <w:lvlText w:val="•"/>
      <w:lvlJc w:val="left"/>
      <w:pPr>
        <w:ind w:left="4040" w:hanging="255"/>
      </w:pPr>
      <w:rPr>
        <w:rFonts w:hint="default"/>
        <w:lang w:val="en-US" w:eastAsia="en-US" w:bidi="ar-SA"/>
      </w:rPr>
    </w:lvl>
    <w:lvl w:ilvl="6">
      <w:start w:val="0"/>
      <w:numFmt w:val="bullet"/>
      <w:lvlText w:val="•"/>
      <w:lvlJc w:val="left"/>
      <w:pPr>
        <w:ind w:left="4740" w:hanging="255"/>
      </w:pPr>
      <w:rPr>
        <w:rFonts w:hint="default"/>
        <w:lang w:val="en-US" w:eastAsia="en-US" w:bidi="ar-SA"/>
      </w:rPr>
    </w:lvl>
    <w:lvl w:ilvl="7">
      <w:start w:val="0"/>
      <w:numFmt w:val="bullet"/>
      <w:lvlText w:val="•"/>
      <w:lvlJc w:val="left"/>
      <w:pPr>
        <w:ind w:left="5440" w:hanging="255"/>
      </w:pPr>
      <w:rPr>
        <w:rFonts w:hint="default"/>
        <w:lang w:val="en-US" w:eastAsia="en-US" w:bidi="ar-SA"/>
      </w:rPr>
    </w:lvl>
    <w:lvl w:ilvl="8">
      <w:start w:val="0"/>
      <w:numFmt w:val="bullet"/>
      <w:lvlText w:val="•"/>
      <w:lvlJc w:val="left"/>
      <w:pPr>
        <w:ind w:left="6140" w:hanging="255"/>
      </w:pPr>
      <w:rPr>
        <w:rFonts w:hint="default"/>
        <w:lang w:val="en-US" w:eastAsia="en-US" w:bidi="ar-SA"/>
      </w:rPr>
    </w:lvl>
  </w:abstractNum>
  <w:abstractNum w:abstractNumId="7">
    <w:nsid w:val="106F6F53"/>
    <w:multiLevelType w:val="hybridMultilevel"/>
    <w:tmpl w:val="00000000"/>
    <w:lvl w:ilvl="0">
      <w:start w:val="1"/>
      <w:numFmt w:val="decimal"/>
      <w:lvlText w:val="(%1)"/>
      <w:lvlJc w:val="left"/>
      <w:pPr>
        <w:ind w:left="549" w:hanging="25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40" w:hanging="255"/>
      </w:pPr>
      <w:rPr>
        <w:rFonts w:hint="default"/>
        <w:lang w:val="en-US" w:eastAsia="en-US" w:bidi="ar-SA"/>
      </w:rPr>
    </w:lvl>
    <w:lvl w:ilvl="2">
      <w:start w:val="0"/>
      <w:numFmt w:val="bullet"/>
      <w:lvlText w:val="•"/>
      <w:lvlJc w:val="left"/>
      <w:pPr>
        <w:ind w:left="1940" w:hanging="255"/>
      </w:pPr>
      <w:rPr>
        <w:rFonts w:hint="default"/>
        <w:lang w:val="en-US" w:eastAsia="en-US" w:bidi="ar-SA"/>
      </w:rPr>
    </w:lvl>
    <w:lvl w:ilvl="3">
      <w:start w:val="0"/>
      <w:numFmt w:val="bullet"/>
      <w:lvlText w:val="•"/>
      <w:lvlJc w:val="left"/>
      <w:pPr>
        <w:ind w:left="2640" w:hanging="255"/>
      </w:pPr>
      <w:rPr>
        <w:rFonts w:hint="default"/>
        <w:lang w:val="en-US" w:eastAsia="en-US" w:bidi="ar-SA"/>
      </w:rPr>
    </w:lvl>
    <w:lvl w:ilvl="4">
      <w:start w:val="0"/>
      <w:numFmt w:val="bullet"/>
      <w:lvlText w:val="•"/>
      <w:lvlJc w:val="left"/>
      <w:pPr>
        <w:ind w:left="3340" w:hanging="255"/>
      </w:pPr>
      <w:rPr>
        <w:rFonts w:hint="default"/>
        <w:lang w:val="en-US" w:eastAsia="en-US" w:bidi="ar-SA"/>
      </w:rPr>
    </w:lvl>
    <w:lvl w:ilvl="5">
      <w:start w:val="0"/>
      <w:numFmt w:val="bullet"/>
      <w:lvlText w:val="•"/>
      <w:lvlJc w:val="left"/>
      <w:pPr>
        <w:ind w:left="4040" w:hanging="255"/>
      </w:pPr>
      <w:rPr>
        <w:rFonts w:hint="default"/>
        <w:lang w:val="en-US" w:eastAsia="en-US" w:bidi="ar-SA"/>
      </w:rPr>
    </w:lvl>
    <w:lvl w:ilvl="6">
      <w:start w:val="0"/>
      <w:numFmt w:val="bullet"/>
      <w:lvlText w:val="•"/>
      <w:lvlJc w:val="left"/>
      <w:pPr>
        <w:ind w:left="4740" w:hanging="255"/>
      </w:pPr>
      <w:rPr>
        <w:rFonts w:hint="default"/>
        <w:lang w:val="en-US" w:eastAsia="en-US" w:bidi="ar-SA"/>
      </w:rPr>
    </w:lvl>
    <w:lvl w:ilvl="7">
      <w:start w:val="0"/>
      <w:numFmt w:val="bullet"/>
      <w:lvlText w:val="•"/>
      <w:lvlJc w:val="left"/>
      <w:pPr>
        <w:ind w:left="5440" w:hanging="255"/>
      </w:pPr>
      <w:rPr>
        <w:rFonts w:hint="default"/>
        <w:lang w:val="en-US" w:eastAsia="en-US" w:bidi="ar-SA"/>
      </w:rPr>
    </w:lvl>
    <w:lvl w:ilvl="8">
      <w:start w:val="0"/>
      <w:numFmt w:val="bullet"/>
      <w:lvlText w:val="•"/>
      <w:lvlJc w:val="left"/>
      <w:pPr>
        <w:ind w:left="6140" w:hanging="255"/>
      </w:pPr>
      <w:rPr>
        <w:rFonts w:hint="default"/>
        <w:lang w:val="en-US" w:eastAsia="en-US" w:bidi="ar-SA"/>
      </w:rPr>
    </w:lvl>
  </w:abstractNum>
  <w:abstractNum w:abstractNumId="8">
    <w:nsid w:val="12566B7E"/>
    <w:multiLevelType w:val="hybridMultilevel"/>
    <w:tmpl w:val="00000000"/>
    <w:lvl w:ilvl="0">
      <w:start w:val="1"/>
      <w:numFmt w:val="decimal"/>
      <w:lvlText w:val="%1."/>
      <w:lvlJc w:val="left"/>
      <w:pPr>
        <w:ind w:left="264"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823" w:hanging="180"/>
      </w:pPr>
      <w:rPr>
        <w:rFonts w:hint="default"/>
        <w:lang w:val="en-US" w:eastAsia="en-US" w:bidi="ar-SA"/>
      </w:rPr>
    </w:lvl>
    <w:lvl w:ilvl="2">
      <w:start w:val="0"/>
      <w:numFmt w:val="bullet"/>
      <w:lvlText w:val="•"/>
      <w:lvlJc w:val="left"/>
      <w:pPr>
        <w:ind w:left="1387" w:hanging="180"/>
      </w:pPr>
      <w:rPr>
        <w:rFonts w:hint="default"/>
        <w:lang w:val="en-US" w:eastAsia="en-US" w:bidi="ar-SA"/>
      </w:rPr>
    </w:lvl>
    <w:lvl w:ilvl="3">
      <w:start w:val="0"/>
      <w:numFmt w:val="bullet"/>
      <w:lvlText w:val="•"/>
      <w:lvlJc w:val="left"/>
      <w:pPr>
        <w:ind w:left="1951" w:hanging="180"/>
      </w:pPr>
      <w:rPr>
        <w:rFonts w:hint="default"/>
        <w:lang w:val="en-US" w:eastAsia="en-US" w:bidi="ar-SA"/>
      </w:rPr>
    </w:lvl>
    <w:lvl w:ilvl="4">
      <w:start w:val="0"/>
      <w:numFmt w:val="bullet"/>
      <w:lvlText w:val="•"/>
      <w:lvlJc w:val="left"/>
      <w:pPr>
        <w:ind w:left="2515" w:hanging="180"/>
      </w:pPr>
      <w:rPr>
        <w:rFonts w:hint="default"/>
        <w:lang w:val="en-US" w:eastAsia="en-US" w:bidi="ar-SA"/>
      </w:rPr>
    </w:lvl>
    <w:lvl w:ilvl="5">
      <w:start w:val="0"/>
      <w:numFmt w:val="bullet"/>
      <w:lvlText w:val="•"/>
      <w:lvlJc w:val="left"/>
      <w:pPr>
        <w:ind w:left="3079" w:hanging="180"/>
      </w:pPr>
      <w:rPr>
        <w:rFonts w:hint="default"/>
        <w:lang w:val="en-US" w:eastAsia="en-US" w:bidi="ar-SA"/>
      </w:rPr>
    </w:lvl>
    <w:lvl w:ilvl="6">
      <w:start w:val="0"/>
      <w:numFmt w:val="bullet"/>
      <w:lvlText w:val="•"/>
      <w:lvlJc w:val="left"/>
      <w:pPr>
        <w:ind w:left="3642" w:hanging="180"/>
      </w:pPr>
      <w:rPr>
        <w:rFonts w:hint="default"/>
        <w:lang w:val="en-US" w:eastAsia="en-US" w:bidi="ar-SA"/>
      </w:rPr>
    </w:lvl>
    <w:lvl w:ilvl="7">
      <w:start w:val="0"/>
      <w:numFmt w:val="bullet"/>
      <w:lvlText w:val="•"/>
      <w:lvlJc w:val="left"/>
      <w:pPr>
        <w:ind w:left="4206" w:hanging="180"/>
      </w:pPr>
      <w:rPr>
        <w:rFonts w:hint="default"/>
        <w:lang w:val="en-US" w:eastAsia="en-US" w:bidi="ar-SA"/>
      </w:rPr>
    </w:lvl>
    <w:lvl w:ilvl="8">
      <w:start w:val="0"/>
      <w:numFmt w:val="bullet"/>
      <w:lvlText w:val="•"/>
      <w:lvlJc w:val="left"/>
      <w:pPr>
        <w:ind w:left="4770" w:hanging="180"/>
      </w:pPr>
      <w:rPr>
        <w:rFonts w:hint="default"/>
        <w:lang w:val="en-US" w:eastAsia="en-US" w:bidi="ar-SA"/>
      </w:rPr>
    </w:lvl>
  </w:abstractNum>
  <w:abstractNum w:abstractNumId="9">
    <w:nsid w:val="1C229CB1"/>
    <w:multiLevelType w:val="hybridMultilevel"/>
    <w:tmpl w:val="00000000"/>
    <w:lvl w:ilvl="0">
      <w:start w:val="1"/>
      <w:numFmt w:val="lowerLetter"/>
      <w:lvlText w:val="%1)"/>
      <w:lvlJc w:val="left"/>
      <w:pPr>
        <w:ind w:left="295" w:hanging="200"/>
        <w:jc w:val="left"/>
      </w:pPr>
      <w:rPr>
        <w:rFonts w:ascii="Times New Roman" w:eastAsia="Times New Roman" w:hAnsi="Times New Roman" w:cs="Times New Roman" w:hint="default"/>
        <w:b w:val="0"/>
        <w:bCs w:val="0"/>
        <w:i w:val="0"/>
        <w:iCs w:val="0"/>
        <w:spacing w:val="-1"/>
        <w:w w:val="100"/>
        <w:sz w:val="18"/>
        <w:szCs w:val="18"/>
        <w:lang w:val="en-US" w:eastAsia="en-US" w:bidi="ar-SA"/>
      </w:rPr>
    </w:lvl>
    <w:lvl w:ilvl="1">
      <w:start w:val="0"/>
      <w:numFmt w:val="bullet"/>
      <w:lvlText w:val="•"/>
      <w:lvlJc w:val="left"/>
      <w:pPr>
        <w:ind w:left="1024" w:hanging="200"/>
      </w:pPr>
      <w:rPr>
        <w:rFonts w:hint="default"/>
        <w:lang w:val="en-US" w:eastAsia="en-US" w:bidi="ar-SA"/>
      </w:rPr>
    </w:lvl>
    <w:lvl w:ilvl="2">
      <w:start w:val="0"/>
      <w:numFmt w:val="bullet"/>
      <w:lvlText w:val="•"/>
      <w:lvlJc w:val="left"/>
      <w:pPr>
        <w:ind w:left="1748" w:hanging="200"/>
      </w:pPr>
      <w:rPr>
        <w:rFonts w:hint="default"/>
        <w:lang w:val="en-US" w:eastAsia="en-US" w:bidi="ar-SA"/>
      </w:rPr>
    </w:lvl>
    <w:lvl w:ilvl="3">
      <w:start w:val="0"/>
      <w:numFmt w:val="bullet"/>
      <w:lvlText w:val="•"/>
      <w:lvlJc w:val="left"/>
      <w:pPr>
        <w:ind w:left="2472" w:hanging="200"/>
      </w:pPr>
      <w:rPr>
        <w:rFonts w:hint="default"/>
        <w:lang w:val="en-US" w:eastAsia="en-US" w:bidi="ar-SA"/>
      </w:rPr>
    </w:lvl>
    <w:lvl w:ilvl="4">
      <w:start w:val="0"/>
      <w:numFmt w:val="bullet"/>
      <w:lvlText w:val="•"/>
      <w:lvlJc w:val="left"/>
      <w:pPr>
        <w:ind w:left="3196" w:hanging="200"/>
      </w:pPr>
      <w:rPr>
        <w:rFonts w:hint="default"/>
        <w:lang w:val="en-US" w:eastAsia="en-US" w:bidi="ar-SA"/>
      </w:rPr>
    </w:lvl>
    <w:lvl w:ilvl="5">
      <w:start w:val="0"/>
      <w:numFmt w:val="bullet"/>
      <w:lvlText w:val="•"/>
      <w:lvlJc w:val="left"/>
      <w:pPr>
        <w:ind w:left="3920" w:hanging="200"/>
      </w:pPr>
      <w:rPr>
        <w:rFonts w:hint="default"/>
        <w:lang w:val="en-US" w:eastAsia="en-US" w:bidi="ar-SA"/>
      </w:rPr>
    </w:lvl>
    <w:lvl w:ilvl="6">
      <w:start w:val="0"/>
      <w:numFmt w:val="bullet"/>
      <w:lvlText w:val="•"/>
      <w:lvlJc w:val="left"/>
      <w:pPr>
        <w:ind w:left="4644" w:hanging="200"/>
      </w:pPr>
      <w:rPr>
        <w:rFonts w:hint="default"/>
        <w:lang w:val="en-US" w:eastAsia="en-US" w:bidi="ar-SA"/>
      </w:rPr>
    </w:lvl>
    <w:lvl w:ilvl="7">
      <w:start w:val="0"/>
      <w:numFmt w:val="bullet"/>
      <w:lvlText w:val="•"/>
      <w:lvlJc w:val="left"/>
      <w:pPr>
        <w:ind w:left="5368" w:hanging="200"/>
      </w:pPr>
      <w:rPr>
        <w:rFonts w:hint="default"/>
        <w:lang w:val="en-US" w:eastAsia="en-US" w:bidi="ar-SA"/>
      </w:rPr>
    </w:lvl>
    <w:lvl w:ilvl="8">
      <w:start w:val="0"/>
      <w:numFmt w:val="bullet"/>
      <w:lvlText w:val="•"/>
      <w:lvlJc w:val="left"/>
      <w:pPr>
        <w:ind w:left="6092" w:hanging="200"/>
      </w:pPr>
      <w:rPr>
        <w:rFonts w:hint="default"/>
        <w:lang w:val="en-US" w:eastAsia="en-US" w:bidi="ar-SA"/>
      </w:rPr>
    </w:lvl>
  </w:abstractNum>
  <w:abstractNum w:abstractNumId="10">
    <w:nsid w:val="1CB85749"/>
    <w:multiLevelType w:val="hybridMultilevel"/>
    <w:tmpl w:val="00000000"/>
    <w:lvl w:ilvl="0">
      <w:start w:val="1"/>
      <w:numFmt w:val="decimal"/>
      <w:lvlText w:val="(%1)"/>
      <w:lvlJc w:val="left"/>
      <w:pPr>
        <w:ind w:left="595" w:hanging="30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94" w:hanging="300"/>
      </w:pPr>
      <w:rPr>
        <w:rFonts w:hint="default"/>
        <w:lang w:val="en-US" w:eastAsia="en-US" w:bidi="ar-SA"/>
      </w:rPr>
    </w:lvl>
    <w:lvl w:ilvl="2">
      <w:start w:val="0"/>
      <w:numFmt w:val="bullet"/>
      <w:lvlText w:val="•"/>
      <w:lvlJc w:val="left"/>
      <w:pPr>
        <w:ind w:left="1988" w:hanging="300"/>
      </w:pPr>
      <w:rPr>
        <w:rFonts w:hint="default"/>
        <w:lang w:val="en-US" w:eastAsia="en-US" w:bidi="ar-SA"/>
      </w:rPr>
    </w:lvl>
    <w:lvl w:ilvl="3">
      <w:start w:val="0"/>
      <w:numFmt w:val="bullet"/>
      <w:lvlText w:val="•"/>
      <w:lvlJc w:val="left"/>
      <w:pPr>
        <w:ind w:left="2682" w:hanging="300"/>
      </w:pPr>
      <w:rPr>
        <w:rFonts w:hint="default"/>
        <w:lang w:val="en-US" w:eastAsia="en-US" w:bidi="ar-SA"/>
      </w:rPr>
    </w:lvl>
    <w:lvl w:ilvl="4">
      <w:start w:val="0"/>
      <w:numFmt w:val="bullet"/>
      <w:lvlText w:val="•"/>
      <w:lvlJc w:val="left"/>
      <w:pPr>
        <w:ind w:left="3376" w:hanging="300"/>
      </w:pPr>
      <w:rPr>
        <w:rFonts w:hint="default"/>
        <w:lang w:val="en-US" w:eastAsia="en-US" w:bidi="ar-SA"/>
      </w:rPr>
    </w:lvl>
    <w:lvl w:ilvl="5">
      <w:start w:val="0"/>
      <w:numFmt w:val="bullet"/>
      <w:lvlText w:val="•"/>
      <w:lvlJc w:val="left"/>
      <w:pPr>
        <w:ind w:left="4070" w:hanging="300"/>
      </w:pPr>
      <w:rPr>
        <w:rFonts w:hint="default"/>
        <w:lang w:val="en-US" w:eastAsia="en-US" w:bidi="ar-SA"/>
      </w:rPr>
    </w:lvl>
    <w:lvl w:ilvl="6">
      <w:start w:val="0"/>
      <w:numFmt w:val="bullet"/>
      <w:lvlText w:val="•"/>
      <w:lvlJc w:val="left"/>
      <w:pPr>
        <w:ind w:left="4764" w:hanging="300"/>
      </w:pPr>
      <w:rPr>
        <w:rFonts w:hint="default"/>
        <w:lang w:val="en-US" w:eastAsia="en-US" w:bidi="ar-SA"/>
      </w:rPr>
    </w:lvl>
    <w:lvl w:ilvl="7">
      <w:start w:val="0"/>
      <w:numFmt w:val="bullet"/>
      <w:lvlText w:val="•"/>
      <w:lvlJc w:val="left"/>
      <w:pPr>
        <w:ind w:left="5458" w:hanging="300"/>
      </w:pPr>
      <w:rPr>
        <w:rFonts w:hint="default"/>
        <w:lang w:val="en-US" w:eastAsia="en-US" w:bidi="ar-SA"/>
      </w:rPr>
    </w:lvl>
    <w:lvl w:ilvl="8">
      <w:start w:val="0"/>
      <w:numFmt w:val="bullet"/>
      <w:lvlText w:val="•"/>
      <w:lvlJc w:val="left"/>
      <w:pPr>
        <w:ind w:left="6152" w:hanging="300"/>
      </w:pPr>
      <w:rPr>
        <w:rFonts w:hint="default"/>
        <w:lang w:val="en-US" w:eastAsia="en-US" w:bidi="ar-SA"/>
      </w:rPr>
    </w:lvl>
  </w:abstractNum>
  <w:abstractNum w:abstractNumId="11">
    <w:nsid w:val="210D641B"/>
    <w:multiLevelType w:val="hybridMultilevel"/>
    <w:tmpl w:val="00000000"/>
    <w:lvl w:ilvl="0">
      <w:start w:val="1"/>
      <w:numFmt w:val="decimal"/>
      <w:lvlText w:val="(%1)"/>
      <w:lvlJc w:val="left"/>
      <w:pPr>
        <w:ind w:left="549" w:hanging="25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1"/>
      <w:numFmt w:val="decimal"/>
      <w:lvlText w:val="%2)"/>
      <w:lvlJc w:val="left"/>
      <w:pPr>
        <w:ind w:left="489" w:hanging="19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2">
      <w:start w:val="0"/>
      <w:numFmt w:val="bullet"/>
      <w:lvlText w:val="•"/>
      <w:lvlJc w:val="left"/>
      <w:pPr>
        <w:ind w:left="1317" w:hanging="195"/>
      </w:pPr>
      <w:rPr>
        <w:rFonts w:hint="default"/>
        <w:lang w:val="en-US" w:eastAsia="en-US" w:bidi="ar-SA"/>
      </w:rPr>
    </w:lvl>
    <w:lvl w:ilvl="3">
      <w:start w:val="0"/>
      <w:numFmt w:val="bullet"/>
      <w:lvlText w:val="•"/>
      <w:lvlJc w:val="left"/>
      <w:pPr>
        <w:ind w:left="2095" w:hanging="195"/>
      </w:pPr>
      <w:rPr>
        <w:rFonts w:hint="default"/>
        <w:lang w:val="en-US" w:eastAsia="en-US" w:bidi="ar-SA"/>
      </w:rPr>
    </w:lvl>
    <w:lvl w:ilvl="4">
      <w:start w:val="0"/>
      <w:numFmt w:val="bullet"/>
      <w:lvlText w:val="•"/>
      <w:lvlJc w:val="left"/>
      <w:pPr>
        <w:ind w:left="2873" w:hanging="195"/>
      </w:pPr>
      <w:rPr>
        <w:rFonts w:hint="default"/>
        <w:lang w:val="en-US" w:eastAsia="en-US" w:bidi="ar-SA"/>
      </w:rPr>
    </w:lvl>
    <w:lvl w:ilvl="5">
      <w:start w:val="0"/>
      <w:numFmt w:val="bullet"/>
      <w:lvlText w:val="•"/>
      <w:lvlJc w:val="left"/>
      <w:pPr>
        <w:ind w:left="3651" w:hanging="195"/>
      </w:pPr>
      <w:rPr>
        <w:rFonts w:hint="default"/>
        <w:lang w:val="en-US" w:eastAsia="en-US" w:bidi="ar-SA"/>
      </w:rPr>
    </w:lvl>
    <w:lvl w:ilvl="6">
      <w:start w:val="0"/>
      <w:numFmt w:val="bullet"/>
      <w:lvlText w:val="•"/>
      <w:lvlJc w:val="left"/>
      <w:pPr>
        <w:ind w:left="4428" w:hanging="195"/>
      </w:pPr>
      <w:rPr>
        <w:rFonts w:hint="default"/>
        <w:lang w:val="en-US" w:eastAsia="en-US" w:bidi="ar-SA"/>
      </w:rPr>
    </w:lvl>
    <w:lvl w:ilvl="7">
      <w:start w:val="0"/>
      <w:numFmt w:val="bullet"/>
      <w:lvlText w:val="•"/>
      <w:lvlJc w:val="left"/>
      <w:pPr>
        <w:ind w:left="5206" w:hanging="195"/>
      </w:pPr>
      <w:rPr>
        <w:rFonts w:hint="default"/>
        <w:lang w:val="en-US" w:eastAsia="en-US" w:bidi="ar-SA"/>
      </w:rPr>
    </w:lvl>
    <w:lvl w:ilvl="8">
      <w:start w:val="0"/>
      <w:numFmt w:val="bullet"/>
      <w:lvlText w:val="•"/>
      <w:lvlJc w:val="left"/>
      <w:pPr>
        <w:ind w:left="5984" w:hanging="195"/>
      </w:pPr>
      <w:rPr>
        <w:rFonts w:hint="default"/>
        <w:lang w:val="en-US" w:eastAsia="en-US" w:bidi="ar-SA"/>
      </w:rPr>
    </w:lvl>
  </w:abstractNum>
  <w:abstractNum w:abstractNumId="12">
    <w:nsid w:val="254DC614"/>
    <w:multiLevelType w:val="hybridMultilevel"/>
    <w:tmpl w:val="00000000"/>
    <w:lvl w:ilvl="0">
      <w:start w:val="1"/>
      <w:numFmt w:val="decimal"/>
      <w:lvlText w:val="(%1)"/>
      <w:lvlJc w:val="left"/>
      <w:pPr>
        <w:ind w:left="547" w:hanging="252"/>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40" w:hanging="252"/>
      </w:pPr>
      <w:rPr>
        <w:rFonts w:hint="default"/>
        <w:lang w:val="en-US" w:eastAsia="en-US" w:bidi="ar-SA"/>
      </w:rPr>
    </w:lvl>
    <w:lvl w:ilvl="2">
      <w:start w:val="0"/>
      <w:numFmt w:val="bullet"/>
      <w:lvlText w:val="•"/>
      <w:lvlJc w:val="left"/>
      <w:pPr>
        <w:ind w:left="1940" w:hanging="252"/>
      </w:pPr>
      <w:rPr>
        <w:rFonts w:hint="default"/>
        <w:lang w:val="en-US" w:eastAsia="en-US" w:bidi="ar-SA"/>
      </w:rPr>
    </w:lvl>
    <w:lvl w:ilvl="3">
      <w:start w:val="0"/>
      <w:numFmt w:val="bullet"/>
      <w:lvlText w:val="•"/>
      <w:lvlJc w:val="left"/>
      <w:pPr>
        <w:ind w:left="2640" w:hanging="252"/>
      </w:pPr>
      <w:rPr>
        <w:rFonts w:hint="default"/>
        <w:lang w:val="en-US" w:eastAsia="en-US" w:bidi="ar-SA"/>
      </w:rPr>
    </w:lvl>
    <w:lvl w:ilvl="4">
      <w:start w:val="0"/>
      <w:numFmt w:val="bullet"/>
      <w:lvlText w:val="•"/>
      <w:lvlJc w:val="left"/>
      <w:pPr>
        <w:ind w:left="3340" w:hanging="252"/>
      </w:pPr>
      <w:rPr>
        <w:rFonts w:hint="default"/>
        <w:lang w:val="en-US" w:eastAsia="en-US" w:bidi="ar-SA"/>
      </w:rPr>
    </w:lvl>
    <w:lvl w:ilvl="5">
      <w:start w:val="0"/>
      <w:numFmt w:val="bullet"/>
      <w:lvlText w:val="•"/>
      <w:lvlJc w:val="left"/>
      <w:pPr>
        <w:ind w:left="4040" w:hanging="252"/>
      </w:pPr>
      <w:rPr>
        <w:rFonts w:hint="default"/>
        <w:lang w:val="en-US" w:eastAsia="en-US" w:bidi="ar-SA"/>
      </w:rPr>
    </w:lvl>
    <w:lvl w:ilvl="6">
      <w:start w:val="0"/>
      <w:numFmt w:val="bullet"/>
      <w:lvlText w:val="•"/>
      <w:lvlJc w:val="left"/>
      <w:pPr>
        <w:ind w:left="4740" w:hanging="252"/>
      </w:pPr>
      <w:rPr>
        <w:rFonts w:hint="default"/>
        <w:lang w:val="en-US" w:eastAsia="en-US" w:bidi="ar-SA"/>
      </w:rPr>
    </w:lvl>
    <w:lvl w:ilvl="7">
      <w:start w:val="0"/>
      <w:numFmt w:val="bullet"/>
      <w:lvlText w:val="•"/>
      <w:lvlJc w:val="left"/>
      <w:pPr>
        <w:ind w:left="5440" w:hanging="252"/>
      </w:pPr>
      <w:rPr>
        <w:rFonts w:hint="default"/>
        <w:lang w:val="en-US" w:eastAsia="en-US" w:bidi="ar-SA"/>
      </w:rPr>
    </w:lvl>
    <w:lvl w:ilvl="8">
      <w:start w:val="0"/>
      <w:numFmt w:val="bullet"/>
      <w:lvlText w:val="•"/>
      <w:lvlJc w:val="left"/>
      <w:pPr>
        <w:ind w:left="6140" w:hanging="252"/>
      </w:pPr>
      <w:rPr>
        <w:rFonts w:hint="default"/>
        <w:lang w:val="en-US" w:eastAsia="en-US" w:bidi="ar-SA"/>
      </w:rPr>
    </w:lvl>
  </w:abstractNum>
  <w:abstractNum w:abstractNumId="13">
    <w:nsid w:val="278FE893"/>
    <w:multiLevelType w:val="hybridMultilevel"/>
    <w:tmpl w:val="00000000"/>
    <w:lvl w:ilvl="0">
      <w:start w:val="1"/>
      <w:numFmt w:val="decimal"/>
      <w:lvlText w:val="%1."/>
      <w:lvlJc w:val="left"/>
      <w:pPr>
        <w:ind w:left="266" w:hanging="183"/>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823" w:hanging="183"/>
      </w:pPr>
      <w:rPr>
        <w:rFonts w:hint="default"/>
        <w:lang w:val="en-US" w:eastAsia="en-US" w:bidi="ar-SA"/>
      </w:rPr>
    </w:lvl>
    <w:lvl w:ilvl="2">
      <w:start w:val="0"/>
      <w:numFmt w:val="bullet"/>
      <w:lvlText w:val="•"/>
      <w:lvlJc w:val="left"/>
      <w:pPr>
        <w:ind w:left="1387" w:hanging="183"/>
      </w:pPr>
      <w:rPr>
        <w:rFonts w:hint="default"/>
        <w:lang w:val="en-US" w:eastAsia="en-US" w:bidi="ar-SA"/>
      </w:rPr>
    </w:lvl>
    <w:lvl w:ilvl="3">
      <w:start w:val="0"/>
      <w:numFmt w:val="bullet"/>
      <w:lvlText w:val="•"/>
      <w:lvlJc w:val="left"/>
      <w:pPr>
        <w:ind w:left="1951" w:hanging="183"/>
      </w:pPr>
      <w:rPr>
        <w:rFonts w:hint="default"/>
        <w:lang w:val="en-US" w:eastAsia="en-US" w:bidi="ar-SA"/>
      </w:rPr>
    </w:lvl>
    <w:lvl w:ilvl="4">
      <w:start w:val="0"/>
      <w:numFmt w:val="bullet"/>
      <w:lvlText w:val="•"/>
      <w:lvlJc w:val="left"/>
      <w:pPr>
        <w:ind w:left="2515" w:hanging="183"/>
      </w:pPr>
      <w:rPr>
        <w:rFonts w:hint="default"/>
        <w:lang w:val="en-US" w:eastAsia="en-US" w:bidi="ar-SA"/>
      </w:rPr>
    </w:lvl>
    <w:lvl w:ilvl="5">
      <w:start w:val="0"/>
      <w:numFmt w:val="bullet"/>
      <w:lvlText w:val="•"/>
      <w:lvlJc w:val="left"/>
      <w:pPr>
        <w:ind w:left="3079" w:hanging="183"/>
      </w:pPr>
      <w:rPr>
        <w:rFonts w:hint="default"/>
        <w:lang w:val="en-US" w:eastAsia="en-US" w:bidi="ar-SA"/>
      </w:rPr>
    </w:lvl>
    <w:lvl w:ilvl="6">
      <w:start w:val="0"/>
      <w:numFmt w:val="bullet"/>
      <w:lvlText w:val="•"/>
      <w:lvlJc w:val="left"/>
      <w:pPr>
        <w:ind w:left="3642" w:hanging="183"/>
      </w:pPr>
      <w:rPr>
        <w:rFonts w:hint="default"/>
        <w:lang w:val="en-US" w:eastAsia="en-US" w:bidi="ar-SA"/>
      </w:rPr>
    </w:lvl>
    <w:lvl w:ilvl="7">
      <w:start w:val="0"/>
      <w:numFmt w:val="bullet"/>
      <w:lvlText w:val="•"/>
      <w:lvlJc w:val="left"/>
      <w:pPr>
        <w:ind w:left="4206" w:hanging="183"/>
      </w:pPr>
      <w:rPr>
        <w:rFonts w:hint="default"/>
        <w:lang w:val="en-US" w:eastAsia="en-US" w:bidi="ar-SA"/>
      </w:rPr>
    </w:lvl>
    <w:lvl w:ilvl="8">
      <w:start w:val="0"/>
      <w:numFmt w:val="bullet"/>
      <w:lvlText w:val="•"/>
      <w:lvlJc w:val="left"/>
      <w:pPr>
        <w:ind w:left="4770" w:hanging="183"/>
      </w:pPr>
      <w:rPr>
        <w:rFonts w:hint="default"/>
        <w:lang w:val="en-US" w:eastAsia="en-US" w:bidi="ar-SA"/>
      </w:rPr>
    </w:lvl>
  </w:abstractNum>
  <w:abstractNum w:abstractNumId="14">
    <w:nsid w:val="28900723"/>
    <w:multiLevelType w:val="hybridMultilevel"/>
    <w:tmpl w:val="00000000"/>
    <w:lvl w:ilvl="0">
      <w:start w:val="1"/>
      <w:numFmt w:val="decimal"/>
      <w:lvlText w:val="%1."/>
      <w:lvlJc w:val="left"/>
      <w:pPr>
        <w:ind w:left="475"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186" w:hanging="180"/>
      </w:pPr>
      <w:rPr>
        <w:rFonts w:hint="default"/>
        <w:lang w:val="en-US" w:eastAsia="en-US" w:bidi="ar-SA"/>
      </w:rPr>
    </w:lvl>
    <w:lvl w:ilvl="2">
      <w:start w:val="0"/>
      <w:numFmt w:val="bullet"/>
      <w:lvlText w:val="•"/>
      <w:lvlJc w:val="left"/>
      <w:pPr>
        <w:ind w:left="1892" w:hanging="180"/>
      </w:pPr>
      <w:rPr>
        <w:rFonts w:hint="default"/>
        <w:lang w:val="en-US" w:eastAsia="en-US" w:bidi="ar-SA"/>
      </w:rPr>
    </w:lvl>
    <w:lvl w:ilvl="3">
      <w:start w:val="0"/>
      <w:numFmt w:val="bullet"/>
      <w:lvlText w:val="•"/>
      <w:lvlJc w:val="left"/>
      <w:pPr>
        <w:ind w:left="2598" w:hanging="180"/>
      </w:pPr>
      <w:rPr>
        <w:rFonts w:hint="default"/>
        <w:lang w:val="en-US" w:eastAsia="en-US" w:bidi="ar-SA"/>
      </w:rPr>
    </w:lvl>
    <w:lvl w:ilvl="4">
      <w:start w:val="0"/>
      <w:numFmt w:val="bullet"/>
      <w:lvlText w:val="•"/>
      <w:lvlJc w:val="left"/>
      <w:pPr>
        <w:ind w:left="3304" w:hanging="180"/>
      </w:pPr>
      <w:rPr>
        <w:rFonts w:hint="default"/>
        <w:lang w:val="en-US" w:eastAsia="en-US" w:bidi="ar-SA"/>
      </w:rPr>
    </w:lvl>
    <w:lvl w:ilvl="5">
      <w:start w:val="0"/>
      <w:numFmt w:val="bullet"/>
      <w:lvlText w:val="•"/>
      <w:lvlJc w:val="left"/>
      <w:pPr>
        <w:ind w:left="4010" w:hanging="180"/>
      </w:pPr>
      <w:rPr>
        <w:rFonts w:hint="default"/>
        <w:lang w:val="en-US" w:eastAsia="en-US" w:bidi="ar-SA"/>
      </w:rPr>
    </w:lvl>
    <w:lvl w:ilvl="6">
      <w:start w:val="0"/>
      <w:numFmt w:val="bullet"/>
      <w:lvlText w:val="•"/>
      <w:lvlJc w:val="left"/>
      <w:pPr>
        <w:ind w:left="4716" w:hanging="180"/>
      </w:pPr>
      <w:rPr>
        <w:rFonts w:hint="default"/>
        <w:lang w:val="en-US" w:eastAsia="en-US" w:bidi="ar-SA"/>
      </w:rPr>
    </w:lvl>
    <w:lvl w:ilvl="7">
      <w:start w:val="0"/>
      <w:numFmt w:val="bullet"/>
      <w:lvlText w:val="•"/>
      <w:lvlJc w:val="left"/>
      <w:pPr>
        <w:ind w:left="5422" w:hanging="180"/>
      </w:pPr>
      <w:rPr>
        <w:rFonts w:hint="default"/>
        <w:lang w:val="en-US" w:eastAsia="en-US" w:bidi="ar-SA"/>
      </w:rPr>
    </w:lvl>
    <w:lvl w:ilvl="8">
      <w:start w:val="0"/>
      <w:numFmt w:val="bullet"/>
      <w:lvlText w:val="•"/>
      <w:lvlJc w:val="left"/>
      <w:pPr>
        <w:ind w:left="6128" w:hanging="180"/>
      </w:pPr>
      <w:rPr>
        <w:rFonts w:hint="default"/>
        <w:lang w:val="en-US" w:eastAsia="en-US" w:bidi="ar-SA"/>
      </w:rPr>
    </w:lvl>
  </w:abstractNum>
  <w:abstractNum w:abstractNumId="15">
    <w:nsid w:val="2D6CC653"/>
    <w:multiLevelType w:val="hybridMultilevel"/>
    <w:tmpl w:val="00000000"/>
    <w:lvl w:ilvl="0">
      <w:start w:val="1"/>
      <w:numFmt w:val="decimal"/>
      <w:lvlText w:val="%1."/>
      <w:lvlJc w:val="left"/>
      <w:pPr>
        <w:ind w:left="84" w:hanging="183"/>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661" w:hanging="183"/>
      </w:pPr>
      <w:rPr>
        <w:rFonts w:hint="default"/>
        <w:lang w:val="en-US" w:eastAsia="en-US" w:bidi="ar-SA"/>
      </w:rPr>
    </w:lvl>
    <w:lvl w:ilvl="2">
      <w:start w:val="0"/>
      <w:numFmt w:val="bullet"/>
      <w:lvlText w:val="•"/>
      <w:lvlJc w:val="left"/>
      <w:pPr>
        <w:ind w:left="1243" w:hanging="183"/>
      </w:pPr>
      <w:rPr>
        <w:rFonts w:hint="default"/>
        <w:lang w:val="en-US" w:eastAsia="en-US" w:bidi="ar-SA"/>
      </w:rPr>
    </w:lvl>
    <w:lvl w:ilvl="3">
      <w:start w:val="0"/>
      <w:numFmt w:val="bullet"/>
      <w:lvlText w:val="•"/>
      <w:lvlJc w:val="left"/>
      <w:pPr>
        <w:ind w:left="1825" w:hanging="183"/>
      </w:pPr>
      <w:rPr>
        <w:rFonts w:hint="default"/>
        <w:lang w:val="en-US" w:eastAsia="en-US" w:bidi="ar-SA"/>
      </w:rPr>
    </w:lvl>
    <w:lvl w:ilvl="4">
      <w:start w:val="0"/>
      <w:numFmt w:val="bullet"/>
      <w:lvlText w:val="•"/>
      <w:lvlJc w:val="left"/>
      <w:pPr>
        <w:ind w:left="2407" w:hanging="183"/>
      </w:pPr>
      <w:rPr>
        <w:rFonts w:hint="default"/>
        <w:lang w:val="en-US" w:eastAsia="en-US" w:bidi="ar-SA"/>
      </w:rPr>
    </w:lvl>
    <w:lvl w:ilvl="5">
      <w:start w:val="0"/>
      <w:numFmt w:val="bullet"/>
      <w:lvlText w:val="•"/>
      <w:lvlJc w:val="left"/>
      <w:pPr>
        <w:ind w:left="2989" w:hanging="183"/>
      </w:pPr>
      <w:rPr>
        <w:rFonts w:hint="default"/>
        <w:lang w:val="en-US" w:eastAsia="en-US" w:bidi="ar-SA"/>
      </w:rPr>
    </w:lvl>
    <w:lvl w:ilvl="6">
      <w:start w:val="0"/>
      <w:numFmt w:val="bullet"/>
      <w:lvlText w:val="•"/>
      <w:lvlJc w:val="left"/>
      <w:pPr>
        <w:ind w:left="3570" w:hanging="183"/>
      </w:pPr>
      <w:rPr>
        <w:rFonts w:hint="default"/>
        <w:lang w:val="en-US" w:eastAsia="en-US" w:bidi="ar-SA"/>
      </w:rPr>
    </w:lvl>
    <w:lvl w:ilvl="7">
      <w:start w:val="0"/>
      <w:numFmt w:val="bullet"/>
      <w:lvlText w:val="•"/>
      <w:lvlJc w:val="left"/>
      <w:pPr>
        <w:ind w:left="4152" w:hanging="183"/>
      </w:pPr>
      <w:rPr>
        <w:rFonts w:hint="default"/>
        <w:lang w:val="en-US" w:eastAsia="en-US" w:bidi="ar-SA"/>
      </w:rPr>
    </w:lvl>
    <w:lvl w:ilvl="8">
      <w:start w:val="0"/>
      <w:numFmt w:val="bullet"/>
      <w:lvlText w:val="•"/>
      <w:lvlJc w:val="left"/>
      <w:pPr>
        <w:ind w:left="4734" w:hanging="183"/>
      </w:pPr>
      <w:rPr>
        <w:rFonts w:hint="default"/>
        <w:lang w:val="en-US" w:eastAsia="en-US" w:bidi="ar-SA"/>
      </w:rPr>
    </w:lvl>
  </w:abstractNum>
  <w:abstractNum w:abstractNumId="16">
    <w:nsid w:val="2ECA3EBB"/>
    <w:multiLevelType w:val="hybridMultilevel"/>
    <w:tmpl w:val="00000000"/>
    <w:lvl w:ilvl="0">
      <w:start w:val="1"/>
      <w:numFmt w:val="lowerLetter"/>
      <w:lvlText w:val="%1)"/>
      <w:lvlJc w:val="left"/>
      <w:pPr>
        <w:ind w:left="475" w:hanging="180"/>
        <w:jc w:val="left"/>
      </w:pPr>
      <w:rPr>
        <w:rFonts w:ascii="Times New Roman" w:eastAsia="Times New Roman" w:hAnsi="Times New Roman" w:cs="Times New Roman" w:hint="default"/>
        <w:b w:val="0"/>
        <w:bCs w:val="0"/>
        <w:i w:val="0"/>
        <w:iCs w:val="0"/>
        <w:spacing w:val="-1"/>
        <w:w w:val="100"/>
        <w:sz w:val="18"/>
        <w:szCs w:val="18"/>
        <w:lang w:val="en-US" w:eastAsia="en-US" w:bidi="ar-SA"/>
      </w:rPr>
    </w:lvl>
    <w:lvl w:ilvl="1">
      <w:start w:val="0"/>
      <w:numFmt w:val="bullet"/>
      <w:lvlText w:val="•"/>
      <w:lvlJc w:val="left"/>
      <w:pPr>
        <w:ind w:left="1186" w:hanging="180"/>
      </w:pPr>
      <w:rPr>
        <w:rFonts w:hint="default"/>
        <w:lang w:val="en-US" w:eastAsia="en-US" w:bidi="ar-SA"/>
      </w:rPr>
    </w:lvl>
    <w:lvl w:ilvl="2">
      <w:start w:val="0"/>
      <w:numFmt w:val="bullet"/>
      <w:lvlText w:val="•"/>
      <w:lvlJc w:val="left"/>
      <w:pPr>
        <w:ind w:left="1892" w:hanging="180"/>
      </w:pPr>
      <w:rPr>
        <w:rFonts w:hint="default"/>
        <w:lang w:val="en-US" w:eastAsia="en-US" w:bidi="ar-SA"/>
      </w:rPr>
    </w:lvl>
    <w:lvl w:ilvl="3">
      <w:start w:val="0"/>
      <w:numFmt w:val="bullet"/>
      <w:lvlText w:val="•"/>
      <w:lvlJc w:val="left"/>
      <w:pPr>
        <w:ind w:left="2598" w:hanging="180"/>
      </w:pPr>
      <w:rPr>
        <w:rFonts w:hint="default"/>
        <w:lang w:val="en-US" w:eastAsia="en-US" w:bidi="ar-SA"/>
      </w:rPr>
    </w:lvl>
    <w:lvl w:ilvl="4">
      <w:start w:val="0"/>
      <w:numFmt w:val="bullet"/>
      <w:lvlText w:val="•"/>
      <w:lvlJc w:val="left"/>
      <w:pPr>
        <w:ind w:left="3304" w:hanging="180"/>
      </w:pPr>
      <w:rPr>
        <w:rFonts w:hint="default"/>
        <w:lang w:val="en-US" w:eastAsia="en-US" w:bidi="ar-SA"/>
      </w:rPr>
    </w:lvl>
    <w:lvl w:ilvl="5">
      <w:start w:val="0"/>
      <w:numFmt w:val="bullet"/>
      <w:lvlText w:val="•"/>
      <w:lvlJc w:val="left"/>
      <w:pPr>
        <w:ind w:left="4010" w:hanging="180"/>
      </w:pPr>
      <w:rPr>
        <w:rFonts w:hint="default"/>
        <w:lang w:val="en-US" w:eastAsia="en-US" w:bidi="ar-SA"/>
      </w:rPr>
    </w:lvl>
    <w:lvl w:ilvl="6">
      <w:start w:val="0"/>
      <w:numFmt w:val="bullet"/>
      <w:lvlText w:val="•"/>
      <w:lvlJc w:val="left"/>
      <w:pPr>
        <w:ind w:left="4716" w:hanging="180"/>
      </w:pPr>
      <w:rPr>
        <w:rFonts w:hint="default"/>
        <w:lang w:val="en-US" w:eastAsia="en-US" w:bidi="ar-SA"/>
      </w:rPr>
    </w:lvl>
    <w:lvl w:ilvl="7">
      <w:start w:val="0"/>
      <w:numFmt w:val="bullet"/>
      <w:lvlText w:val="•"/>
      <w:lvlJc w:val="left"/>
      <w:pPr>
        <w:ind w:left="5422" w:hanging="180"/>
      </w:pPr>
      <w:rPr>
        <w:rFonts w:hint="default"/>
        <w:lang w:val="en-US" w:eastAsia="en-US" w:bidi="ar-SA"/>
      </w:rPr>
    </w:lvl>
    <w:lvl w:ilvl="8">
      <w:start w:val="0"/>
      <w:numFmt w:val="bullet"/>
      <w:lvlText w:val="•"/>
      <w:lvlJc w:val="left"/>
      <w:pPr>
        <w:ind w:left="6128" w:hanging="180"/>
      </w:pPr>
      <w:rPr>
        <w:rFonts w:hint="default"/>
        <w:lang w:val="en-US" w:eastAsia="en-US" w:bidi="ar-SA"/>
      </w:rPr>
    </w:lvl>
  </w:abstractNum>
  <w:abstractNum w:abstractNumId="17">
    <w:nsid w:val="31341592"/>
    <w:multiLevelType w:val="hybridMultilevel"/>
    <w:tmpl w:val="00000000"/>
    <w:lvl w:ilvl="0">
      <w:start w:val="1"/>
      <w:numFmt w:val="decimal"/>
      <w:lvlText w:val="%1."/>
      <w:lvlJc w:val="left"/>
      <w:pPr>
        <w:ind w:left="475"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186" w:hanging="180"/>
      </w:pPr>
      <w:rPr>
        <w:rFonts w:hint="default"/>
        <w:lang w:val="en-US" w:eastAsia="en-US" w:bidi="ar-SA"/>
      </w:rPr>
    </w:lvl>
    <w:lvl w:ilvl="2">
      <w:start w:val="0"/>
      <w:numFmt w:val="bullet"/>
      <w:lvlText w:val="•"/>
      <w:lvlJc w:val="left"/>
      <w:pPr>
        <w:ind w:left="1892" w:hanging="180"/>
      </w:pPr>
      <w:rPr>
        <w:rFonts w:hint="default"/>
        <w:lang w:val="en-US" w:eastAsia="en-US" w:bidi="ar-SA"/>
      </w:rPr>
    </w:lvl>
    <w:lvl w:ilvl="3">
      <w:start w:val="0"/>
      <w:numFmt w:val="bullet"/>
      <w:lvlText w:val="•"/>
      <w:lvlJc w:val="left"/>
      <w:pPr>
        <w:ind w:left="2598" w:hanging="180"/>
      </w:pPr>
      <w:rPr>
        <w:rFonts w:hint="default"/>
        <w:lang w:val="en-US" w:eastAsia="en-US" w:bidi="ar-SA"/>
      </w:rPr>
    </w:lvl>
    <w:lvl w:ilvl="4">
      <w:start w:val="0"/>
      <w:numFmt w:val="bullet"/>
      <w:lvlText w:val="•"/>
      <w:lvlJc w:val="left"/>
      <w:pPr>
        <w:ind w:left="3304" w:hanging="180"/>
      </w:pPr>
      <w:rPr>
        <w:rFonts w:hint="default"/>
        <w:lang w:val="en-US" w:eastAsia="en-US" w:bidi="ar-SA"/>
      </w:rPr>
    </w:lvl>
    <w:lvl w:ilvl="5">
      <w:start w:val="0"/>
      <w:numFmt w:val="bullet"/>
      <w:lvlText w:val="•"/>
      <w:lvlJc w:val="left"/>
      <w:pPr>
        <w:ind w:left="4010" w:hanging="180"/>
      </w:pPr>
      <w:rPr>
        <w:rFonts w:hint="default"/>
        <w:lang w:val="en-US" w:eastAsia="en-US" w:bidi="ar-SA"/>
      </w:rPr>
    </w:lvl>
    <w:lvl w:ilvl="6">
      <w:start w:val="0"/>
      <w:numFmt w:val="bullet"/>
      <w:lvlText w:val="•"/>
      <w:lvlJc w:val="left"/>
      <w:pPr>
        <w:ind w:left="4716" w:hanging="180"/>
      </w:pPr>
      <w:rPr>
        <w:rFonts w:hint="default"/>
        <w:lang w:val="en-US" w:eastAsia="en-US" w:bidi="ar-SA"/>
      </w:rPr>
    </w:lvl>
    <w:lvl w:ilvl="7">
      <w:start w:val="0"/>
      <w:numFmt w:val="bullet"/>
      <w:lvlText w:val="•"/>
      <w:lvlJc w:val="left"/>
      <w:pPr>
        <w:ind w:left="5422" w:hanging="180"/>
      </w:pPr>
      <w:rPr>
        <w:rFonts w:hint="default"/>
        <w:lang w:val="en-US" w:eastAsia="en-US" w:bidi="ar-SA"/>
      </w:rPr>
    </w:lvl>
    <w:lvl w:ilvl="8">
      <w:start w:val="0"/>
      <w:numFmt w:val="bullet"/>
      <w:lvlText w:val="•"/>
      <w:lvlJc w:val="left"/>
      <w:pPr>
        <w:ind w:left="6128" w:hanging="180"/>
      </w:pPr>
      <w:rPr>
        <w:rFonts w:hint="default"/>
        <w:lang w:val="en-US" w:eastAsia="en-US" w:bidi="ar-SA"/>
      </w:rPr>
    </w:lvl>
  </w:abstractNum>
  <w:abstractNum w:abstractNumId="18">
    <w:nsid w:val="332E62D4"/>
    <w:multiLevelType w:val="hybridMultilevel"/>
    <w:tmpl w:val="00000000"/>
    <w:lvl w:ilvl="0">
      <w:start w:val="1"/>
      <w:numFmt w:val="decimal"/>
      <w:lvlText w:val="%1."/>
      <w:lvlJc w:val="left"/>
      <w:pPr>
        <w:ind w:left="475"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186" w:hanging="180"/>
      </w:pPr>
      <w:rPr>
        <w:rFonts w:hint="default"/>
        <w:lang w:val="en-US" w:eastAsia="en-US" w:bidi="ar-SA"/>
      </w:rPr>
    </w:lvl>
    <w:lvl w:ilvl="2">
      <w:start w:val="0"/>
      <w:numFmt w:val="bullet"/>
      <w:lvlText w:val="•"/>
      <w:lvlJc w:val="left"/>
      <w:pPr>
        <w:ind w:left="1892" w:hanging="180"/>
      </w:pPr>
      <w:rPr>
        <w:rFonts w:hint="default"/>
        <w:lang w:val="en-US" w:eastAsia="en-US" w:bidi="ar-SA"/>
      </w:rPr>
    </w:lvl>
    <w:lvl w:ilvl="3">
      <w:start w:val="0"/>
      <w:numFmt w:val="bullet"/>
      <w:lvlText w:val="•"/>
      <w:lvlJc w:val="left"/>
      <w:pPr>
        <w:ind w:left="2598" w:hanging="180"/>
      </w:pPr>
      <w:rPr>
        <w:rFonts w:hint="default"/>
        <w:lang w:val="en-US" w:eastAsia="en-US" w:bidi="ar-SA"/>
      </w:rPr>
    </w:lvl>
    <w:lvl w:ilvl="4">
      <w:start w:val="0"/>
      <w:numFmt w:val="bullet"/>
      <w:lvlText w:val="•"/>
      <w:lvlJc w:val="left"/>
      <w:pPr>
        <w:ind w:left="3304" w:hanging="180"/>
      </w:pPr>
      <w:rPr>
        <w:rFonts w:hint="default"/>
        <w:lang w:val="en-US" w:eastAsia="en-US" w:bidi="ar-SA"/>
      </w:rPr>
    </w:lvl>
    <w:lvl w:ilvl="5">
      <w:start w:val="0"/>
      <w:numFmt w:val="bullet"/>
      <w:lvlText w:val="•"/>
      <w:lvlJc w:val="left"/>
      <w:pPr>
        <w:ind w:left="4010" w:hanging="180"/>
      </w:pPr>
      <w:rPr>
        <w:rFonts w:hint="default"/>
        <w:lang w:val="en-US" w:eastAsia="en-US" w:bidi="ar-SA"/>
      </w:rPr>
    </w:lvl>
    <w:lvl w:ilvl="6">
      <w:start w:val="0"/>
      <w:numFmt w:val="bullet"/>
      <w:lvlText w:val="•"/>
      <w:lvlJc w:val="left"/>
      <w:pPr>
        <w:ind w:left="4716" w:hanging="180"/>
      </w:pPr>
      <w:rPr>
        <w:rFonts w:hint="default"/>
        <w:lang w:val="en-US" w:eastAsia="en-US" w:bidi="ar-SA"/>
      </w:rPr>
    </w:lvl>
    <w:lvl w:ilvl="7">
      <w:start w:val="0"/>
      <w:numFmt w:val="bullet"/>
      <w:lvlText w:val="•"/>
      <w:lvlJc w:val="left"/>
      <w:pPr>
        <w:ind w:left="5422" w:hanging="180"/>
      </w:pPr>
      <w:rPr>
        <w:rFonts w:hint="default"/>
        <w:lang w:val="en-US" w:eastAsia="en-US" w:bidi="ar-SA"/>
      </w:rPr>
    </w:lvl>
    <w:lvl w:ilvl="8">
      <w:start w:val="0"/>
      <w:numFmt w:val="bullet"/>
      <w:lvlText w:val="•"/>
      <w:lvlJc w:val="left"/>
      <w:pPr>
        <w:ind w:left="6128" w:hanging="180"/>
      </w:pPr>
      <w:rPr>
        <w:rFonts w:hint="default"/>
        <w:lang w:val="en-US" w:eastAsia="en-US" w:bidi="ar-SA"/>
      </w:rPr>
    </w:lvl>
  </w:abstractNum>
  <w:abstractNum w:abstractNumId="19">
    <w:nsid w:val="347B6080"/>
    <w:multiLevelType w:val="hybridMultilevel"/>
    <w:tmpl w:val="00000000"/>
    <w:lvl w:ilvl="0">
      <w:start w:val="2"/>
      <w:numFmt w:val="decimal"/>
      <w:lvlText w:val="%1."/>
      <w:lvlJc w:val="left"/>
      <w:pPr>
        <w:ind w:left="295" w:hanging="138"/>
        <w:jc w:val="left"/>
      </w:pPr>
      <w:rPr>
        <w:rFonts w:ascii="Times New Roman" w:eastAsia="Times New Roman" w:hAnsi="Times New Roman" w:cs="Times New Roman" w:hint="default"/>
        <w:b/>
        <w:bCs/>
        <w:i w:val="0"/>
        <w:iCs w:val="0"/>
        <w:spacing w:val="0"/>
        <w:w w:val="96"/>
        <w:sz w:val="16"/>
        <w:szCs w:val="16"/>
        <w:lang w:val="en-US" w:eastAsia="en-US" w:bidi="ar-SA"/>
      </w:rPr>
    </w:lvl>
    <w:lvl w:ilvl="1">
      <w:start w:val="0"/>
      <w:numFmt w:val="bullet"/>
      <w:lvlText w:val="•"/>
      <w:lvlJc w:val="left"/>
      <w:pPr>
        <w:ind w:left="1024" w:hanging="138"/>
      </w:pPr>
      <w:rPr>
        <w:rFonts w:hint="default"/>
        <w:lang w:val="en-US" w:eastAsia="en-US" w:bidi="ar-SA"/>
      </w:rPr>
    </w:lvl>
    <w:lvl w:ilvl="2">
      <w:start w:val="0"/>
      <w:numFmt w:val="bullet"/>
      <w:lvlText w:val="•"/>
      <w:lvlJc w:val="left"/>
      <w:pPr>
        <w:ind w:left="1748" w:hanging="138"/>
      </w:pPr>
      <w:rPr>
        <w:rFonts w:hint="default"/>
        <w:lang w:val="en-US" w:eastAsia="en-US" w:bidi="ar-SA"/>
      </w:rPr>
    </w:lvl>
    <w:lvl w:ilvl="3">
      <w:start w:val="0"/>
      <w:numFmt w:val="bullet"/>
      <w:lvlText w:val="•"/>
      <w:lvlJc w:val="left"/>
      <w:pPr>
        <w:ind w:left="2472" w:hanging="138"/>
      </w:pPr>
      <w:rPr>
        <w:rFonts w:hint="default"/>
        <w:lang w:val="en-US" w:eastAsia="en-US" w:bidi="ar-SA"/>
      </w:rPr>
    </w:lvl>
    <w:lvl w:ilvl="4">
      <w:start w:val="0"/>
      <w:numFmt w:val="bullet"/>
      <w:lvlText w:val="•"/>
      <w:lvlJc w:val="left"/>
      <w:pPr>
        <w:ind w:left="3196" w:hanging="138"/>
      </w:pPr>
      <w:rPr>
        <w:rFonts w:hint="default"/>
        <w:lang w:val="en-US" w:eastAsia="en-US" w:bidi="ar-SA"/>
      </w:rPr>
    </w:lvl>
    <w:lvl w:ilvl="5">
      <w:start w:val="0"/>
      <w:numFmt w:val="bullet"/>
      <w:lvlText w:val="•"/>
      <w:lvlJc w:val="left"/>
      <w:pPr>
        <w:ind w:left="3920" w:hanging="138"/>
      </w:pPr>
      <w:rPr>
        <w:rFonts w:hint="default"/>
        <w:lang w:val="en-US" w:eastAsia="en-US" w:bidi="ar-SA"/>
      </w:rPr>
    </w:lvl>
    <w:lvl w:ilvl="6">
      <w:start w:val="0"/>
      <w:numFmt w:val="bullet"/>
      <w:lvlText w:val="•"/>
      <w:lvlJc w:val="left"/>
      <w:pPr>
        <w:ind w:left="4644" w:hanging="138"/>
      </w:pPr>
      <w:rPr>
        <w:rFonts w:hint="default"/>
        <w:lang w:val="en-US" w:eastAsia="en-US" w:bidi="ar-SA"/>
      </w:rPr>
    </w:lvl>
    <w:lvl w:ilvl="7">
      <w:start w:val="0"/>
      <w:numFmt w:val="bullet"/>
      <w:lvlText w:val="•"/>
      <w:lvlJc w:val="left"/>
      <w:pPr>
        <w:ind w:left="5368" w:hanging="138"/>
      </w:pPr>
      <w:rPr>
        <w:rFonts w:hint="default"/>
        <w:lang w:val="en-US" w:eastAsia="en-US" w:bidi="ar-SA"/>
      </w:rPr>
    </w:lvl>
    <w:lvl w:ilvl="8">
      <w:start w:val="0"/>
      <w:numFmt w:val="bullet"/>
      <w:lvlText w:val="•"/>
      <w:lvlJc w:val="left"/>
      <w:pPr>
        <w:ind w:left="6092" w:hanging="138"/>
      </w:pPr>
      <w:rPr>
        <w:rFonts w:hint="default"/>
        <w:lang w:val="en-US" w:eastAsia="en-US" w:bidi="ar-SA"/>
      </w:rPr>
    </w:lvl>
  </w:abstractNum>
  <w:abstractNum w:abstractNumId="20">
    <w:nsid w:val="35BF95F9"/>
    <w:multiLevelType w:val="hybridMultilevel"/>
    <w:tmpl w:val="00000000"/>
    <w:lvl w:ilvl="0">
      <w:start w:val="1"/>
      <w:numFmt w:val="decimal"/>
      <w:lvlText w:val="%1."/>
      <w:lvlJc w:val="left"/>
      <w:pPr>
        <w:ind w:left="295"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024" w:hanging="180"/>
      </w:pPr>
      <w:rPr>
        <w:rFonts w:hint="default"/>
        <w:lang w:val="en-US" w:eastAsia="en-US" w:bidi="ar-SA"/>
      </w:rPr>
    </w:lvl>
    <w:lvl w:ilvl="2">
      <w:start w:val="0"/>
      <w:numFmt w:val="bullet"/>
      <w:lvlText w:val="•"/>
      <w:lvlJc w:val="left"/>
      <w:pPr>
        <w:ind w:left="1748" w:hanging="180"/>
      </w:pPr>
      <w:rPr>
        <w:rFonts w:hint="default"/>
        <w:lang w:val="en-US" w:eastAsia="en-US" w:bidi="ar-SA"/>
      </w:rPr>
    </w:lvl>
    <w:lvl w:ilvl="3">
      <w:start w:val="0"/>
      <w:numFmt w:val="bullet"/>
      <w:lvlText w:val="•"/>
      <w:lvlJc w:val="left"/>
      <w:pPr>
        <w:ind w:left="2472" w:hanging="180"/>
      </w:pPr>
      <w:rPr>
        <w:rFonts w:hint="default"/>
        <w:lang w:val="en-US" w:eastAsia="en-US" w:bidi="ar-SA"/>
      </w:rPr>
    </w:lvl>
    <w:lvl w:ilvl="4">
      <w:start w:val="0"/>
      <w:numFmt w:val="bullet"/>
      <w:lvlText w:val="•"/>
      <w:lvlJc w:val="left"/>
      <w:pPr>
        <w:ind w:left="3196" w:hanging="180"/>
      </w:pPr>
      <w:rPr>
        <w:rFonts w:hint="default"/>
        <w:lang w:val="en-US" w:eastAsia="en-US" w:bidi="ar-SA"/>
      </w:rPr>
    </w:lvl>
    <w:lvl w:ilvl="5">
      <w:start w:val="0"/>
      <w:numFmt w:val="bullet"/>
      <w:lvlText w:val="•"/>
      <w:lvlJc w:val="left"/>
      <w:pPr>
        <w:ind w:left="3920" w:hanging="180"/>
      </w:pPr>
      <w:rPr>
        <w:rFonts w:hint="default"/>
        <w:lang w:val="en-US" w:eastAsia="en-US" w:bidi="ar-SA"/>
      </w:rPr>
    </w:lvl>
    <w:lvl w:ilvl="6">
      <w:start w:val="0"/>
      <w:numFmt w:val="bullet"/>
      <w:lvlText w:val="•"/>
      <w:lvlJc w:val="left"/>
      <w:pPr>
        <w:ind w:left="4644" w:hanging="180"/>
      </w:pPr>
      <w:rPr>
        <w:rFonts w:hint="default"/>
        <w:lang w:val="en-US" w:eastAsia="en-US" w:bidi="ar-SA"/>
      </w:rPr>
    </w:lvl>
    <w:lvl w:ilvl="7">
      <w:start w:val="0"/>
      <w:numFmt w:val="bullet"/>
      <w:lvlText w:val="•"/>
      <w:lvlJc w:val="left"/>
      <w:pPr>
        <w:ind w:left="5368" w:hanging="180"/>
      </w:pPr>
      <w:rPr>
        <w:rFonts w:hint="default"/>
        <w:lang w:val="en-US" w:eastAsia="en-US" w:bidi="ar-SA"/>
      </w:rPr>
    </w:lvl>
    <w:lvl w:ilvl="8">
      <w:start w:val="0"/>
      <w:numFmt w:val="bullet"/>
      <w:lvlText w:val="•"/>
      <w:lvlJc w:val="left"/>
      <w:pPr>
        <w:ind w:left="6092" w:hanging="180"/>
      </w:pPr>
      <w:rPr>
        <w:rFonts w:hint="default"/>
        <w:lang w:val="en-US" w:eastAsia="en-US" w:bidi="ar-SA"/>
      </w:rPr>
    </w:lvl>
  </w:abstractNum>
  <w:abstractNum w:abstractNumId="21">
    <w:nsid w:val="35C522D9"/>
    <w:multiLevelType w:val="hybridMultilevel"/>
    <w:tmpl w:val="00000000"/>
    <w:lvl w:ilvl="0">
      <w:start w:val="1"/>
      <w:numFmt w:val="decimal"/>
      <w:lvlText w:val="%1."/>
      <w:lvlJc w:val="left"/>
      <w:pPr>
        <w:ind w:left="295" w:hanging="238"/>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024" w:hanging="238"/>
      </w:pPr>
      <w:rPr>
        <w:rFonts w:hint="default"/>
        <w:lang w:val="en-US" w:eastAsia="en-US" w:bidi="ar-SA"/>
      </w:rPr>
    </w:lvl>
    <w:lvl w:ilvl="2">
      <w:start w:val="0"/>
      <w:numFmt w:val="bullet"/>
      <w:lvlText w:val="•"/>
      <w:lvlJc w:val="left"/>
      <w:pPr>
        <w:ind w:left="1748" w:hanging="238"/>
      </w:pPr>
      <w:rPr>
        <w:rFonts w:hint="default"/>
        <w:lang w:val="en-US" w:eastAsia="en-US" w:bidi="ar-SA"/>
      </w:rPr>
    </w:lvl>
    <w:lvl w:ilvl="3">
      <w:start w:val="0"/>
      <w:numFmt w:val="bullet"/>
      <w:lvlText w:val="•"/>
      <w:lvlJc w:val="left"/>
      <w:pPr>
        <w:ind w:left="2472" w:hanging="238"/>
      </w:pPr>
      <w:rPr>
        <w:rFonts w:hint="default"/>
        <w:lang w:val="en-US" w:eastAsia="en-US" w:bidi="ar-SA"/>
      </w:rPr>
    </w:lvl>
    <w:lvl w:ilvl="4">
      <w:start w:val="0"/>
      <w:numFmt w:val="bullet"/>
      <w:lvlText w:val="•"/>
      <w:lvlJc w:val="left"/>
      <w:pPr>
        <w:ind w:left="3196" w:hanging="238"/>
      </w:pPr>
      <w:rPr>
        <w:rFonts w:hint="default"/>
        <w:lang w:val="en-US" w:eastAsia="en-US" w:bidi="ar-SA"/>
      </w:rPr>
    </w:lvl>
    <w:lvl w:ilvl="5">
      <w:start w:val="0"/>
      <w:numFmt w:val="bullet"/>
      <w:lvlText w:val="•"/>
      <w:lvlJc w:val="left"/>
      <w:pPr>
        <w:ind w:left="3920" w:hanging="238"/>
      </w:pPr>
      <w:rPr>
        <w:rFonts w:hint="default"/>
        <w:lang w:val="en-US" w:eastAsia="en-US" w:bidi="ar-SA"/>
      </w:rPr>
    </w:lvl>
    <w:lvl w:ilvl="6">
      <w:start w:val="0"/>
      <w:numFmt w:val="bullet"/>
      <w:lvlText w:val="•"/>
      <w:lvlJc w:val="left"/>
      <w:pPr>
        <w:ind w:left="4644" w:hanging="238"/>
      </w:pPr>
      <w:rPr>
        <w:rFonts w:hint="default"/>
        <w:lang w:val="en-US" w:eastAsia="en-US" w:bidi="ar-SA"/>
      </w:rPr>
    </w:lvl>
    <w:lvl w:ilvl="7">
      <w:start w:val="0"/>
      <w:numFmt w:val="bullet"/>
      <w:lvlText w:val="•"/>
      <w:lvlJc w:val="left"/>
      <w:pPr>
        <w:ind w:left="5368" w:hanging="238"/>
      </w:pPr>
      <w:rPr>
        <w:rFonts w:hint="default"/>
        <w:lang w:val="en-US" w:eastAsia="en-US" w:bidi="ar-SA"/>
      </w:rPr>
    </w:lvl>
    <w:lvl w:ilvl="8">
      <w:start w:val="0"/>
      <w:numFmt w:val="bullet"/>
      <w:lvlText w:val="•"/>
      <w:lvlJc w:val="left"/>
      <w:pPr>
        <w:ind w:left="6092" w:hanging="238"/>
      </w:pPr>
      <w:rPr>
        <w:rFonts w:hint="default"/>
        <w:lang w:val="en-US" w:eastAsia="en-US" w:bidi="ar-SA"/>
      </w:rPr>
    </w:lvl>
  </w:abstractNum>
  <w:abstractNum w:abstractNumId="22">
    <w:nsid w:val="36FDD0C2"/>
    <w:multiLevelType w:val="hybridMultilevel"/>
    <w:tmpl w:val="00000000"/>
    <w:lvl w:ilvl="0">
      <w:start w:val="1"/>
      <w:numFmt w:val="decimal"/>
      <w:lvlText w:val="(%1)"/>
      <w:lvlJc w:val="left"/>
      <w:pPr>
        <w:ind w:left="547" w:hanging="252"/>
        <w:jc w:val="left"/>
      </w:pPr>
      <w:rPr>
        <w:rFonts w:ascii="Times New Roman" w:eastAsia="Times New Roman" w:hAnsi="Times New Roman" w:cs="Times New Roman" w:hint="default"/>
        <w:b/>
        <w:bCs/>
        <w:i w:val="0"/>
        <w:iCs w:val="0"/>
        <w:spacing w:val="0"/>
        <w:w w:val="100"/>
        <w:sz w:val="18"/>
        <w:szCs w:val="18"/>
        <w:lang w:val="en-US" w:eastAsia="en-US" w:bidi="ar-SA"/>
      </w:rPr>
    </w:lvl>
    <w:lvl w:ilvl="1">
      <w:start w:val="0"/>
      <w:numFmt w:val="bullet"/>
      <w:lvlText w:val="•"/>
      <w:lvlJc w:val="left"/>
      <w:pPr>
        <w:ind w:left="1240" w:hanging="252"/>
      </w:pPr>
      <w:rPr>
        <w:rFonts w:hint="default"/>
        <w:lang w:val="en-US" w:eastAsia="en-US" w:bidi="ar-SA"/>
      </w:rPr>
    </w:lvl>
    <w:lvl w:ilvl="2">
      <w:start w:val="0"/>
      <w:numFmt w:val="bullet"/>
      <w:lvlText w:val="•"/>
      <w:lvlJc w:val="left"/>
      <w:pPr>
        <w:ind w:left="1940" w:hanging="252"/>
      </w:pPr>
      <w:rPr>
        <w:rFonts w:hint="default"/>
        <w:lang w:val="en-US" w:eastAsia="en-US" w:bidi="ar-SA"/>
      </w:rPr>
    </w:lvl>
    <w:lvl w:ilvl="3">
      <w:start w:val="0"/>
      <w:numFmt w:val="bullet"/>
      <w:lvlText w:val="•"/>
      <w:lvlJc w:val="left"/>
      <w:pPr>
        <w:ind w:left="2640" w:hanging="252"/>
      </w:pPr>
      <w:rPr>
        <w:rFonts w:hint="default"/>
        <w:lang w:val="en-US" w:eastAsia="en-US" w:bidi="ar-SA"/>
      </w:rPr>
    </w:lvl>
    <w:lvl w:ilvl="4">
      <w:start w:val="0"/>
      <w:numFmt w:val="bullet"/>
      <w:lvlText w:val="•"/>
      <w:lvlJc w:val="left"/>
      <w:pPr>
        <w:ind w:left="3340" w:hanging="252"/>
      </w:pPr>
      <w:rPr>
        <w:rFonts w:hint="default"/>
        <w:lang w:val="en-US" w:eastAsia="en-US" w:bidi="ar-SA"/>
      </w:rPr>
    </w:lvl>
    <w:lvl w:ilvl="5">
      <w:start w:val="0"/>
      <w:numFmt w:val="bullet"/>
      <w:lvlText w:val="•"/>
      <w:lvlJc w:val="left"/>
      <w:pPr>
        <w:ind w:left="4040" w:hanging="252"/>
      </w:pPr>
      <w:rPr>
        <w:rFonts w:hint="default"/>
        <w:lang w:val="en-US" w:eastAsia="en-US" w:bidi="ar-SA"/>
      </w:rPr>
    </w:lvl>
    <w:lvl w:ilvl="6">
      <w:start w:val="0"/>
      <w:numFmt w:val="bullet"/>
      <w:lvlText w:val="•"/>
      <w:lvlJc w:val="left"/>
      <w:pPr>
        <w:ind w:left="4740" w:hanging="252"/>
      </w:pPr>
      <w:rPr>
        <w:rFonts w:hint="default"/>
        <w:lang w:val="en-US" w:eastAsia="en-US" w:bidi="ar-SA"/>
      </w:rPr>
    </w:lvl>
    <w:lvl w:ilvl="7">
      <w:start w:val="0"/>
      <w:numFmt w:val="bullet"/>
      <w:lvlText w:val="•"/>
      <w:lvlJc w:val="left"/>
      <w:pPr>
        <w:ind w:left="5440" w:hanging="252"/>
      </w:pPr>
      <w:rPr>
        <w:rFonts w:hint="default"/>
        <w:lang w:val="en-US" w:eastAsia="en-US" w:bidi="ar-SA"/>
      </w:rPr>
    </w:lvl>
    <w:lvl w:ilvl="8">
      <w:start w:val="0"/>
      <w:numFmt w:val="bullet"/>
      <w:lvlText w:val="•"/>
      <w:lvlJc w:val="left"/>
      <w:pPr>
        <w:ind w:left="6140" w:hanging="252"/>
      </w:pPr>
      <w:rPr>
        <w:rFonts w:hint="default"/>
        <w:lang w:val="en-US" w:eastAsia="en-US" w:bidi="ar-SA"/>
      </w:rPr>
    </w:lvl>
  </w:abstractNum>
  <w:abstractNum w:abstractNumId="23">
    <w:nsid w:val="3BF2A0ED"/>
    <w:multiLevelType w:val="hybridMultilevel"/>
    <w:tmpl w:val="00000000"/>
    <w:lvl w:ilvl="0">
      <w:start w:val="1"/>
      <w:numFmt w:val="decimal"/>
      <w:lvlText w:val="%1."/>
      <w:lvlJc w:val="left"/>
      <w:pPr>
        <w:ind w:left="475"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186" w:hanging="180"/>
      </w:pPr>
      <w:rPr>
        <w:rFonts w:hint="default"/>
        <w:lang w:val="en-US" w:eastAsia="en-US" w:bidi="ar-SA"/>
      </w:rPr>
    </w:lvl>
    <w:lvl w:ilvl="2">
      <w:start w:val="0"/>
      <w:numFmt w:val="bullet"/>
      <w:lvlText w:val="•"/>
      <w:lvlJc w:val="left"/>
      <w:pPr>
        <w:ind w:left="1892" w:hanging="180"/>
      </w:pPr>
      <w:rPr>
        <w:rFonts w:hint="default"/>
        <w:lang w:val="en-US" w:eastAsia="en-US" w:bidi="ar-SA"/>
      </w:rPr>
    </w:lvl>
    <w:lvl w:ilvl="3">
      <w:start w:val="0"/>
      <w:numFmt w:val="bullet"/>
      <w:lvlText w:val="•"/>
      <w:lvlJc w:val="left"/>
      <w:pPr>
        <w:ind w:left="2598" w:hanging="180"/>
      </w:pPr>
      <w:rPr>
        <w:rFonts w:hint="default"/>
        <w:lang w:val="en-US" w:eastAsia="en-US" w:bidi="ar-SA"/>
      </w:rPr>
    </w:lvl>
    <w:lvl w:ilvl="4">
      <w:start w:val="0"/>
      <w:numFmt w:val="bullet"/>
      <w:lvlText w:val="•"/>
      <w:lvlJc w:val="left"/>
      <w:pPr>
        <w:ind w:left="3304" w:hanging="180"/>
      </w:pPr>
      <w:rPr>
        <w:rFonts w:hint="default"/>
        <w:lang w:val="en-US" w:eastAsia="en-US" w:bidi="ar-SA"/>
      </w:rPr>
    </w:lvl>
    <w:lvl w:ilvl="5">
      <w:start w:val="0"/>
      <w:numFmt w:val="bullet"/>
      <w:lvlText w:val="•"/>
      <w:lvlJc w:val="left"/>
      <w:pPr>
        <w:ind w:left="4010" w:hanging="180"/>
      </w:pPr>
      <w:rPr>
        <w:rFonts w:hint="default"/>
        <w:lang w:val="en-US" w:eastAsia="en-US" w:bidi="ar-SA"/>
      </w:rPr>
    </w:lvl>
    <w:lvl w:ilvl="6">
      <w:start w:val="0"/>
      <w:numFmt w:val="bullet"/>
      <w:lvlText w:val="•"/>
      <w:lvlJc w:val="left"/>
      <w:pPr>
        <w:ind w:left="4716" w:hanging="180"/>
      </w:pPr>
      <w:rPr>
        <w:rFonts w:hint="default"/>
        <w:lang w:val="en-US" w:eastAsia="en-US" w:bidi="ar-SA"/>
      </w:rPr>
    </w:lvl>
    <w:lvl w:ilvl="7">
      <w:start w:val="0"/>
      <w:numFmt w:val="bullet"/>
      <w:lvlText w:val="•"/>
      <w:lvlJc w:val="left"/>
      <w:pPr>
        <w:ind w:left="5422" w:hanging="180"/>
      </w:pPr>
      <w:rPr>
        <w:rFonts w:hint="default"/>
        <w:lang w:val="en-US" w:eastAsia="en-US" w:bidi="ar-SA"/>
      </w:rPr>
    </w:lvl>
    <w:lvl w:ilvl="8">
      <w:start w:val="0"/>
      <w:numFmt w:val="bullet"/>
      <w:lvlText w:val="•"/>
      <w:lvlJc w:val="left"/>
      <w:pPr>
        <w:ind w:left="6128" w:hanging="180"/>
      </w:pPr>
      <w:rPr>
        <w:rFonts w:hint="default"/>
        <w:lang w:val="en-US" w:eastAsia="en-US" w:bidi="ar-SA"/>
      </w:rPr>
    </w:lvl>
  </w:abstractNum>
  <w:abstractNum w:abstractNumId="24">
    <w:nsid w:val="3C6B3BBD"/>
    <w:multiLevelType w:val="hybridMultilevel"/>
    <w:tmpl w:val="00000000"/>
    <w:lvl w:ilvl="0">
      <w:start w:val="1"/>
      <w:numFmt w:val="decimal"/>
      <w:lvlText w:val="%1."/>
      <w:lvlJc w:val="left"/>
      <w:pPr>
        <w:ind w:left="295"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024" w:hanging="180"/>
      </w:pPr>
      <w:rPr>
        <w:rFonts w:hint="default"/>
        <w:lang w:val="en-US" w:eastAsia="en-US" w:bidi="ar-SA"/>
      </w:rPr>
    </w:lvl>
    <w:lvl w:ilvl="2">
      <w:start w:val="0"/>
      <w:numFmt w:val="bullet"/>
      <w:lvlText w:val="•"/>
      <w:lvlJc w:val="left"/>
      <w:pPr>
        <w:ind w:left="1748" w:hanging="180"/>
      </w:pPr>
      <w:rPr>
        <w:rFonts w:hint="default"/>
        <w:lang w:val="en-US" w:eastAsia="en-US" w:bidi="ar-SA"/>
      </w:rPr>
    </w:lvl>
    <w:lvl w:ilvl="3">
      <w:start w:val="0"/>
      <w:numFmt w:val="bullet"/>
      <w:lvlText w:val="•"/>
      <w:lvlJc w:val="left"/>
      <w:pPr>
        <w:ind w:left="2472" w:hanging="180"/>
      </w:pPr>
      <w:rPr>
        <w:rFonts w:hint="default"/>
        <w:lang w:val="en-US" w:eastAsia="en-US" w:bidi="ar-SA"/>
      </w:rPr>
    </w:lvl>
    <w:lvl w:ilvl="4">
      <w:start w:val="0"/>
      <w:numFmt w:val="bullet"/>
      <w:lvlText w:val="•"/>
      <w:lvlJc w:val="left"/>
      <w:pPr>
        <w:ind w:left="3196" w:hanging="180"/>
      </w:pPr>
      <w:rPr>
        <w:rFonts w:hint="default"/>
        <w:lang w:val="en-US" w:eastAsia="en-US" w:bidi="ar-SA"/>
      </w:rPr>
    </w:lvl>
    <w:lvl w:ilvl="5">
      <w:start w:val="0"/>
      <w:numFmt w:val="bullet"/>
      <w:lvlText w:val="•"/>
      <w:lvlJc w:val="left"/>
      <w:pPr>
        <w:ind w:left="3920" w:hanging="180"/>
      </w:pPr>
      <w:rPr>
        <w:rFonts w:hint="default"/>
        <w:lang w:val="en-US" w:eastAsia="en-US" w:bidi="ar-SA"/>
      </w:rPr>
    </w:lvl>
    <w:lvl w:ilvl="6">
      <w:start w:val="0"/>
      <w:numFmt w:val="bullet"/>
      <w:lvlText w:val="•"/>
      <w:lvlJc w:val="left"/>
      <w:pPr>
        <w:ind w:left="4644" w:hanging="180"/>
      </w:pPr>
      <w:rPr>
        <w:rFonts w:hint="default"/>
        <w:lang w:val="en-US" w:eastAsia="en-US" w:bidi="ar-SA"/>
      </w:rPr>
    </w:lvl>
    <w:lvl w:ilvl="7">
      <w:start w:val="0"/>
      <w:numFmt w:val="bullet"/>
      <w:lvlText w:val="•"/>
      <w:lvlJc w:val="left"/>
      <w:pPr>
        <w:ind w:left="5368" w:hanging="180"/>
      </w:pPr>
      <w:rPr>
        <w:rFonts w:hint="default"/>
        <w:lang w:val="en-US" w:eastAsia="en-US" w:bidi="ar-SA"/>
      </w:rPr>
    </w:lvl>
    <w:lvl w:ilvl="8">
      <w:start w:val="0"/>
      <w:numFmt w:val="bullet"/>
      <w:lvlText w:val="•"/>
      <w:lvlJc w:val="left"/>
      <w:pPr>
        <w:ind w:left="6092" w:hanging="180"/>
      </w:pPr>
      <w:rPr>
        <w:rFonts w:hint="default"/>
        <w:lang w:val="en-US" w:eastAsia="en-US" w:bidi="ar-SA"/>
      </w:rPr>
    </w:lvl>
  </w:abstractNum>
  <w:abstractNum w:abstractNumId="25">
    <w:nsid w:val="3CF8BB21"/>
    <w:multiLevelType w:val="hybridMultilevel"/>
    <w:tmpl w:val="00000000"/>
    <w:lvl w:ilvl="0">
      <w:start w:val="1"/>
      <w:numFmt w:val="decimal"/>
      <w:lvlText w:val="%1."/>
      <w:lvlJc w:val="left"/>
      <w:pPr>
        <w:ind w:left="432" w:hanging="138"/>
        <w:jc w:val="left"/>
      </w:pPr>
      <w:rPr>
        <w:rFonts w:ascii="Times New Roman" w:eastAsia="Times New Roman" w:hAnsi="Times New Roman" w:cs="Times New Roman" w:hint="default"/>
        <w:b w:val="0"/>
        <w:bCs w:val="0"/>
        <w:i w:val="0"/>
        <w:iCs w:val="0"/>
        <w:spacing w:val="-2"/>
        <w:w w:val="98"/>
        <w:sz w:val="16"/>
        <w:szCs w:val="16"/>
        <w:lang w:val="en-US" w:eastAsia="en-US" w:bidi="ar-SA"/>
      </w:rPr>
    </w:lvl>
    <w:lvl w:ilvl="1">
      <w:start w:val="1"/>
      <w:numFmt w:val="decimal"/>
      <w:lvlText w:val="%1.%2"/>
      <w:lvlJc w:val="left"/>
      <w:pPr>
        <w:ind w:left="775" w:hanging="272"/>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2">
      <w:start w:val="0"/>
      <w:numFmt w:val="bullet"/>
      <w:lvlText w:val="•"/>
      <w:lvlJc w:val="left"/>
      <w:pPr>
        <w:ind w:left="860" w:hanging="272"/>
      </w:pPr>
      <w:rPr>
        <w:rFonts w:hint="default"/>
        <w:lang w:val="en-US" w:eastAsia="en-US" w:bidi="ar-SA"/>
      </w:rPr>
    </w:lvl>
    <w:lvl w:ilvl="3">
      <w:start w:val="0"/>
      <w:numFmt w:val="bullet"/>
      <w:lvlText w:val="•"/>
      <w:lvlJc w:val="left"/>
      <w:pPr>
        <w:ind w:left="1695" w:hanging="272"/>
      </w:pPr>
      <w:rPr>
        <w:rFonts w:hint="default"/>
        <w:lang w:val="en-US" w:eastAsia="en-US" w:bidi="ar-SA"/>
      </w:rPr>
    </w:lvl>
    <w:lvl w:ilvl="4">
      <w:start w:val="0"/>
      <w:numFmt w:val="bullet"/>
      <w:lvlText w:val="•"/>
      <w:lvlJc w:val="left"/>
      <w:pPr>
        <w:ind w:left="2530" w:hanging="272"/>
      </w:pPr>
      <w:rPr>
        <w:rFonts w:hint="default"/>
        <w:lang w:val="en-US" w:eastAsia="en-US" w:bidi="ar-SA"/>
      </w:rPr>
    </w:lvl>
    <w:lvl w:ilvl="5">
      <w:start w:val="0"/>
      <w:numFmt w:val="bullet"/>
      <w:lvlText w:val="•"/>
      <w:lvlJc w:val="left"/>
      <w:pPr>
        <w:ind w:left="3365" w:hanging="272"/>
      </w:pPr>
      <w:rPr>
        <w:rFonts w:hint="default"/>
        <w:lang w:val="en-US" w:eastAsia="en-US" w:bidi="ar-SA"/>
      </w:rPr>
    </w:lvl>
    <w:lvl w:ilvl="6">
      <w:start w:val="0"/>
      <w:numFmt w:val="bullet"/>
      <w:lvlText w:val="•"/>
      <w:lvlJc w:val="left"/>
      <w:pPr>
        <w:ind w:left="4200" w:hanging="272"/>
      </w:pPr>
      <w:rPr>
        <w:rFonts w:hint="default"/>
        <w:lang w:val="en-US" w:eastAsia="en-US" w:bidi="ar-SA"/>
      </w:rPr>
    </w:lvl>
    <w:lvl w:ilvl="7">
      <w:start w:val="0"/>
      <w:numFmt w:val="bullet"/>
      <w:lvlText w:val="•"/>
      <w:lvlJc w:val="left"/>
      <w:pPr>
        <w:ind w:left="5035" w:hanging="272"/>
      </w:pPr>
      <w:rPr>
        <w:rFonts w:hint="default"/>
        <w:lang w:val="en-US" w:eastAsia="en-US" w:bidi="ar-SA"/>
      </w:rPr>
    </w:lvl>
    <w:lvl w:ilvl="8">
      <w:start w:val="0"/>
      <w:numFmt w:val="bullet"/>
      <w:lvlText w:val="•"/>
      <w:lvlJc w:val="left"/>
      <w:pPr>
        <w:ind w:left="5870" w:hanging="272"/>
      </w:pPr>
      <w:rPr>
        <w:rFonts w:hint="default"/>
        <w:lang w:val="en-US" w:eastAsia="en-US" w:bidi="ar-SA"/>
      </w:rPr>
    </w:lvl>
  </w:abstractNum>
  <w:abstractNum w:abstractNumId="26">
    <w:nsid w:val="410C3051"/>
    <w:multiLevelType w:val="hybridMultilevel"/>
    <w:tmpl w:val="00000000"/>
    <w:lvl w:ilvl="0">
      <w:start w:val="1"/>
      <w:numFmt w:val="decimal"/>
      <w:lvlText w:val="(%1)"/>
      <w:lvlJc w:val="left"/>
      <w:pPr>
        <w:ind w:left="295" w:hanging="25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383" w:hanging="104"/>
      </w:pPr>
      <w:rPr>
        <w:rFonts w:ascii="Times New Roman" w:eastAsia="Times New Roman" w:hAnsi="Times New Roman" w:cs="Times New Roman" w:hint="default"/>
        <w:b w:val="0"/>
        <w:bCs w:val="0"/>
        <w:i w:val="0"/>
        <w:iCs w:val="0"/>
        <w:spacing w:val="0"/>
        <w:w w:val="100"/>
        <w:sz w:val="18"/>
        <w:szCs w:val="18"/>
        <w:lang w:val="en-US" w:eastAsia="en-US" w:bidi="ar-SA"/>
      </w:rPr>
    </w:lvl>
    <w:lvl w:ilvl="2">
      <w:start w:val="0"/>
      <w:numFmt w:val="bullet"/>
      <w:lvlText w:val="•"/>
      <w:lvlJc w:val="left"/>
      <w:pPr>
        <w:ind w:left="1175" w:hanging="104"/>
      </w:pPr>
      <w:rPr>
        <w:rFonts w:hint="default"/>
        <w:lang w:val="en-US" w:eastAsia="en-US" w:bidi="ar-SA"/>
      </w:rPr>
    </w:lvl>
    <w:lvl w:ilvl="3">
      <w:start w:val="0"/>
      <w:numFmt w:val="bullet"/>
      <w:lvlText w:val="•"/>
      <w:lvlJc w:val="left"/>
      <w:pPr>
        <w:ind w:left="1971" w:hanging="104"/>
      </w:pPr>
      <w:rPr>
        <w:rFonts w:hint="default"/>
        <w:lang w:val="en-US" w:eastAsia="en-US" w:bidi="ar-SA"/>
      </w:rPr>
    </w:lvl>
    <w:lvl w:ilvl="4">
      <w:start w:val="0"/>
      <w:numFmt w:val="bullet"/>
      <w:lvlText w:val="•"/>
      <w:lvlJc w:val="left"/>
      <w:pPr>
        <w:ind w:left="2766" w:hanging="104"/>
      </w:pPr>
      <w:rPr>
        <w:rFonts w:hint="default"/>
        <w:lang w:val="en-US" w:eastAsia="en-US" w:bidi="ar-SA"/>
      </w:rPr>
    </w:lvl>
    <w:lvl w:ilvl="5">
      <w:start w:val="0"/>
      <w:numFmt w:val="bullet"/>
      <w:lvlText w:val="•"/>
      <w:lvlJc w:val="left"/>
      <w:pPr>
        <w:ind w:left="3562" w:hanging="104"/>
      </w:pPr>
      <w:rPr>
        <w:rFonts w:hint="default"/>
        <w:lang w:val="en-US" w:eastAsia="en-US" w:bidi="ar-SA"/>
      </w:rPr>
    </w:lvl>
    <w:lvl w:ilvl="6">
      <w:start w:val="0"/>
      <w:numFmt w:val="bullet"/>
      <w:lvlText w:val="•"/>
      <w:lvlJc w:val="left"/>
      <w:pPr>
        <w:ind w:left="4357" w:hanging="104"/>
      </w:pPr>
      <w:rPr>
        <w:rFonts w:hint="default"/>
        <w:lang w:val="en-US" w:eastAsia="en-US" w:bidi="ar-SA"/>
      </w:rPr>
    </w:lvl>
    <w:lvl w:ilvl="7">
      <w:start w:val="0"/>
      <w:numFmt w:val="bullet"/>
      <w:lvlText w:val="•"/>
      <w:lvlJc w:val="left"/>
      <w:pPr>
        <w:ind w:left="5153" w:hanging="104"/>
      </w:pPr>
      <w:rPr>
        <w:rFonts w:hint="default"/>
        <w:lang w:val="en-US" w:eastAsia="en-US" w:bidi="ar-SA"/>
      </w:rPr>
    </w:lvl>
    <w:lvl w:ilvl="8">
      <w:start w:val="0"/>
      <w:numFmt w:val="bullet"/>
      <w:lvlText w:val="•"/>
      <w:lvlJc w:val="left"/>
      <w:pPr>
        <w:ind w:left="5948" w:hanging="104"/>
      </w:pPr>
      <w:rPr>
        <w:rFonts w:hint="default"/>
        <w:lang w:val="en-US" w:eastAsia="en-US" w:bidi="ar-SA"/>
      </w:rPr>
    </w:lvl>
  </w:abstractNum>
  <w:abstractNum w:abstractNumId="27">
    <w:nsid w:val="41393DAF"/>
    <w:multiLevelType w:val="hybridMultilevel"/>
    <w:tmpl w:val="00000000"/>
    <w:lvl w:ilvl="0">
      <w:start w:val="1"/>
      <w:numFmt w:val="decimal"/>
      <w:lvlText w:val="%1."/>
      <w:lvlJc w:val="left"/>
      <w:pPr>
        <w:ind w:left="446" w:hanging="152"/>
        <w:jc w:val="left"/>
      </w:pPr>
      <w:rPr>
        <w:rFonts w:ascii="Times New Roman" w:eastAsia="Times New Roman" w:hAnsi="Times New Roman" w:cs="Times New Roman" w:hint="default"/>
        <w:b/>
        <w:bCs/>
        <w:i w:val="0"/>
        <w:iCs w:val="0"/>
        <w:spacing w:val="-2"/>
        <w:w w:val="97"/>
        <w:sz w:val="18"/>
        <w:szCs w:val="18"/>
        <w:lang w:val="en-US" w:eastAsia="en-US" w:bidi="ar-SA"/>
      </w:rPr>
    </w:lvl>
    <w:lvl w:ilvl="1">
      <w:start w:val="1"/>
      <w:numFmt w:val="decimal"/>
      <w:lvlText w:val="%1.%2"/>
      <w:lvlJc w:val="left"/>
      <w:pPr>
        <w:ind w:left="595" w:hanging="300"/>
        <w:jc w:val="left"/>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775" w:hanging="480"/>
        <w:jc w:val="left"/>
      </w:pPr>
      <w:rPr>
        <w:rFonts w:hint="default"/>
        <w:spacing w:val="-6"/>
        <w:w w:val="100"/>
        <w:lang w:val="en-US" w:eastAsia="en-US" w:bidi="ar-SA"/>
      </w:rPr>
    </w:lvl>
    <w:lvl w:ilvl="3">
      <w:start w:val="0"/>
      <w:numFmt w:val="bullet"/>
      <w:lvlText w:val="•"/>
      <w:lvlJc w:val="left"/>
      <w:pPr>
        <w:ind w:left="680" w:hanging="480"/>
      </w:pPr>
      <w:rPr>
        <w:rFonts w:hint="default"/>
        <w:lang w:val="en-US" w:eastAsia="en-US" w:bidi="ar-SA"/>
      </w:rPr>
    </w:lvl>
    <w:lvl w:ilvl="4">
      <w:start w:val="0"/>
      <w:numFmt w:val="bullet"/>
      <w:lvlText w:val="•"/>
      <w:lvlJc w:val="left"/>
      <w:pPr>
        <w:ind w:left="700" w:hanging="480"/>
      </w:pPr>
      <w:rPr>
        <w:rFonts w:hint="default"/>
        <w:lang w:val="en-US" w:eastAsia="en-US" w:bidi="ar-SA"/>
      </w:rPr>
    </w:lvl>
    <w:lvl w:ilvl="5">
      <w:start w:val="0"/>
      <w:numFmt w:val="bullet"/>
      <w:lvlText w:val="•"/>
      <w:lvlJc w:val="left"/>
      <w:pPr>
        <w:ind w:left="780" w:hanging="480"/>
      </w:pPr>
      <w:rPr>
        <w:rFonts w:hint="default"/>
        <w:lang w:val="en-US" w:eastAsia="en-US" w:bidi="ar-SA"/>
      </w:rPr>
    </w:lvl>
    <w:lvl w:ilvl="6">
      <w:start w:val="0"/>
      <w:numFmt w:val="bullet"/>
      <w:lvlText w:val="•"/>
      <w:lvlJc w:val="left"/>
      <w:pPr>
        <w:ind w:left="2132" w:hanging="480"/>
      </w:pPr>
      <w:rPr>
        <w:rFonts w:hint="default"/>
        <w:lang w:val="en-US" w:eastAsia="en-US" w:bidi="ar-SA"/>
      </w:rPr>
    </w:lvl>
    <w:lvl w:ilvl="7">
      <w:start w:val="0"/>
      <w:numFmt w:val="bullet"/>
      <w:lvlText w:val="•"/>
      <w:lvlJc w:val="left"/>
      <w:pPr>
        <w:ind w:left="3484" w:hanging="480"/>
      </w:pPr>
      <w:rPr>
        <w:rFonts w:hint="default"/>
        <w:lang w:val="en-US" w:eastAsia="en-US" w:bidi="ar-SA"/>
      </w:rPr>
    </w:lvl>
    <w:lvl w:ilvl="8">
      <w:start w:val="0"/>
      <w:numFmt w:val="bullet"/>
      <w:lvlText w:val="•"/>
      <w:lvlJc w:val="left"/>
      <w:pPr>
        <w:ind w:left="4836" w:hanging="480"/>
      </w:pPr>
      <w:rPr>
        <w:rFonts w:hint="default"/>
        <w:lang w:val="en-US" w:eastAsia="en-US" w:bidi="ar-SA"/>
      </w:rPr>
    </w:lvl>
  </w:abstractNum>
  <w:abstractNum w:abstractNumId="28">
    <w:nsid w:val="430DC123"/>
    <w:multiLevelType w:val="hybridMultilevel"/>
    <w:tmpl w:val="00000000"/>
    <w:lvl w:ilvl="0">
      <w:start w:val="2"/>
      <w:numFmt w:val="decimal"/>
      <w:lvlText w:val="%1."/>
      <w:lvlJc w:val="left"/>
      <w:pPr>
        <w:ind w:left="295" w:hanging="138"/>
        <w:jc w:val="left"/>
      </w:pPr>
      <w:rPr>
        <w:rFonts w:ascii="Times New Roman" w:eastAsia="Times New Roman" w:hAnsi="Times New Roman" w:cs="Times New Roman" w:hint="default"/>
        <w:b/>
        <w:bCs/>
        <w:i w:val="0"/>
        <w:iCs w:val="0"/>
        <w:spacing w:val="0"/>
        <w:w w:val="96"/>
        <w:sz w:val="16"/>
        <w:szCs w:val="16"/>
        <w:lang w:val="en-US" w:eastAsia="en-US" w:bidi="ar-SA"/>
      </w:rPr>
    </w:lvl>
    <w:lvl w:ilvl="1">
      <w:start w:val="0"/>
      <w:numFmt w:val="bullet"/>
      <w:lvlText w:val="•"/>
      <w:lvlJc w:val="left"/>
      <w:pPr>
        <w:ind w:left="1024" w:hanging="138"/>
      </w:pPr>
      <w:rPr>
        <w:rFonts w:hint="default"/>
        <w:lang w:val="en-US" w:eastAsia="en-US" w:bidi="ar-SA"/>
      </w:rPr>
    </w:lvl>
    <w:lvl w:ilvl="2">
      <w:start w:val="0"/>
      <w:numFmt w:val="bullet"/>
      <w:lvlText w:val="•"/>
      <w:lvlJc w:val="left"/>
      <w:pPr>
        <w:ind w:left="1748" w:hanging="138"/>
      </w:pPr>
      <w:rPr>
        <w:rFonts w:hint="default"/>
        <w:lang w:val="en-US" w:eastAsia="en-US" w:bidi="ar-SA"/>
      </w:rPr>
    </w:lvl>
    <w:lvl w:ilvl="3">
      <w:start w:val="0"/>
      <w:numFmt w:val="bullet"/>
      <w:lvlText w:val="•"/>
      <w:lvlJc w:val="left"/>
      <w:pPr>
        <w:ind w:left="2472" w:hanging="138"/>
      </w:pPr>
      <w:rPr>
        <w:rFonts w:hint="default"/>
        <w:lang w:val="en-US" w:eastAsia="en-US" w:bidi="ar-SA"/>
      </w:rPr>
    </w:lvl>
    <w:lvl w:ilvl="4">
      <w:start w:val="0"/>
      <w:numFmt w:val="bullet"/>
      <w:lvlText w:val="•"/>
      <w:lvlJc w:val="left"/>
      <w:pPr>
        <w:ind w:left="3196" w:hanging="138"/>
      </w:pPr>
      <w:rPr>
        <w:rFonts w:hint="default"/>
        <w:lang w:val="en-US" w:eastAsia="en-US" w:bidi="ar-SA"/>
      </w:rPr>
    </w:lvl>
    <w:lvl w:ilvl="5">
      <w:start w:val="0"/>
      <w:numFmt w:val="bullet"/>
      <w:lvlText w:val="•"/>
      <w:lvlJc w:val="left"/>
      <w:pPr>
        <w:ind w:left="3920" w:hanging="138"/>
      </w:pPr>
      <w:rPr>
        <w:rFonts w:hint="default"/>
        <w:lang w:val="en-US" w:eastAsia="en-US" w:bidi="ar-SA"/>
      </w:rPr>
    </w:lvl>
    <w:lvl w:ilvl="6">
      <w:start w:val="0"/>
      <w:numFmt w:val="bullet"/>
      <w:lvlText w:val="•"/>
      <w:lvlJc w:val="left"/>
      <w:pPr>
        <w:ind w:left="4644" w:hanging="138"/>
      </w:pPr>
      <w:rPr>
        <w:rFonts w:hint="default"/>
        <w:lang w:val="en-US" w:eastAsia="en-US" w:bidi="ar-SA"/>
      </w:rPr>
    </w:lvl>
    <w:lvl w:ilvl="7">
      <w:start w:val="0"/>
      <w:numFmt w:val="bullet"/>
      <w:lvlText w:val="•"/>
      <w:lvlJc w:val="left"/>
      <w:pPr>
        <w:ind w:left="5368" w:hanging="138"/>
      </w:pPr>
      <w:rPr>
        <w:rFonts w:hint="default"/>
        <w:lang w:val="en-US" w:eastAsia="en-US" w:bidi="ar-SA"/>
      </w:rPr>
    </w:lvl>
    <w:lvl w:ilvl="8">
      <w:start w:val="0"/>
      <w:numFmt w:val="bullet"/>
      <w:lvlText w:val="•"/>
      <w:lvlJc w:val="left"/>
      <w:pPr>
        <w:ind w:left="6092" w:hanging="138"/>
      </w:pPr>
      <w:rPr>
        <w:rFonts w:hint="default"/>
        <w:lang w:val="en-US" w:eastAsia="en-US" w:bidi="ar-SA"/>
      </w:rPr>
    </w:lvl>
  </w:abstractNum>
  <w:abstractNum w:abstractNumId="29">
    <w:nsid w:val="4903603C"/>
    <w:multiLevelType w:val="hybridMultilevel"/>
    <w:tmpl w:val="00000000"/>
    <w:lvl w:ilvl="0">
      <w:start w:val="1"/>
      <w:numFmt w:val="decimal"/>
      <w:lvlText w:val="(%1)"/>
      <w:lvlJc w:val="left"/>
      <w:pPr>
        <w:ind w:left="295" w:hanging="300"/>
        <w:jc w:val="right"/>
      </w:pPr>
      <w:rPr>
        <w:rFonts w:ascii="Times New Roman" w:eastAsia="Times New Roman" w:hAnsi="Times New Roman" w:cs="Times New Roman" w:hint="default"/>
        <w:b/>
        <w:bCs/>
        <w:i w:val="0"/>
        <w:iCs w:val="0"/>
        <w:spacing w:val="0"/>
        <w:w w:val="100"/>
        <w:sz w:val="18"/>
        <w:szCs w:val="18"/>
        <w:lang w:val="en-US" w:eastAsia="en-US" w:bidi="ar-SA"/>
      </w:rPr>
    </w:lvl>
    <w:lvl w:ilvl="1">
      <w:start w:val="1"/>
      <w:numFmt w:val="lowerLetter"/>
      <w:lvlText w:val="%2."/>
      <w:lvlJc w:val="left"/>
      <w:pPr>
        <w:ind w:left="508" w:hanging="214"/>
        <w:jc w:val="left"/>
      </w:pPr>
      <w:rPr>
        <w:rFonts w:hint="default"/>
        <w:spacing w:val="-1"/>
        <w:w w:val="100"/>
        <w:lang w:val="en-US" w:eastAsia="en-US" w:bidi="ar-SA"/>
      </w:rPr>
    </w:lvl>
    <w:lvl w:ilvl="2">
      <w:start w:val="0"/>
      <w:numFmt w:val="bullet"/>
      <w:lvlText w:val="•"/>
      <w:lvlJc w:val="left"/>
      <w:pPr>
        <w:ind w:left="1282" w:hanging="214"/>
      </w:pPr>
      <w:rPr>
        <w:rFonts w:hint="default"/>
        <w:lang w:val="en-US" w:eastAsia="en-US" w:bidi="ar-SA"/>
      </w:rPr>
    </w:lvl>
    <w:lvl w:ilvl="3">
      <w:start w:val="0"/>
      <w:numFmt w:val="bullet"/>
      <w:lvlText w:val="•"/>
      <w:lvlJc w:val="left"/>
      <w:pPr>
        <w:ind w:left="2064" w:hanging="214"/>
      </w:pPr>
      <w:rPr>
        <w:rFonts w:hint="default"/>
        <w:lang w:val="en-US" w:eastAsia="en-US" w:bidi="ar-SA"/>
      </w:rPr>
    </w:lvl>
    <w:lvl w:ilvl="4">
      <w:start w:val="0"/>
      <w:numFmt w:val="bullet"/>
      <w:lvlText w:val="•"/>
      <w:lvlJc w:val="left"/>
      <w:pPr>
        <w:ind w:left="2846" w:hanging="214"/>
      </w:pPr>
      <w:rPr>
        <w:rFonts w:hint="default"/>
        <w:lang w:val="en-US" w:eastAsia="en-US" w:bidi="ar-SA"/>
      </w:rPr>
    </w:lvl>
    <w:lvl w:ilvl="5">
      <w:start w:val="0"/>
      <w:numFmt w:val="bullet"/>
      <w:lvlText w:val="•"/>
      <w:lvlJc w:val="left"/>
      <w:pPr>
        <w:ind w:left="3628" w:hanging="214"/>
      </w:pPr>
      <w:rPr>
        <w:rFonts w:hint="default"/>
        <w:lang w:val="en-US" w:eastAsia="en-US" w:bidi="ar-SA"/>
      </w:rPr>
    </w:lvl>
    <w:lvl w:ilvl="6">
      <w:start w:val="0"/>
      <w:numFmt w:val="bullet"/>
      <w:lvlText w:val="•"/>
      <w:lvlJc w:val="left"/>
      <w:pPr>
        <w:ind w:left="4411" w:hanging="214"/>
      </w:pPr>
      <w:rPr>
        <w:rFonts w:hint="default"/>
        <w:lang w:val="en-US" w:eastAsia="en-US" w:bidi="ar-SA"/>
      </w:rPr>
    </w:lvl>
    <w:lvl w:ilvl="7">
      <w:start w:val="0"/>
      <w:numFmt w:val="bullet"/>
      <w:lvlText w:val="•"/>
      <w:lvlJc w:val="left"/>
      <w:pPr>
        <w:ind w:left="5193" w:hanging="214"/>
      </w:pPr>
      <w:rPr>
        <w:rFonts w:hint="default"/>
        <w:lang w:val="en-US" w:eastAsia="en-US" w:bidi="ar-SA"/>
      </w:rPr>
    </w:lvl>
    <w:lvl w:ilvl="8">
      <w:start w:val="0"/>
      <w:numFmt w:val="bullet"/>
      <w:lvlText w:val="•"/>
      <w:lvlJc w:val="left"/>
      <w:pPr>
        <w:ind w:left="5975" w:hanging="214"/>
      </w:pPr>
      <w:rPr>
        <w:rFonts w:hint="default"/>
        <w:lang w:val="en-US" w:eastAsia="en-US" w:bidi="ar-SA"/>
      </w:rPr>
    </w:lvl>
  </w:abstractNum>
  <w:abstractNum w:abstractNumId="30">
    <w:nsid w:val="4CD7E987"/>
    <w:multiLevelType w:val="hybridMultilevel"/>
    <w:tmpl w:val="00000000"/>
    <w:lvl w:ilvl="0">
      <w:start w:val="1"/>
      <w:numFmt w:val="decimal"/>
      <w:lvlText w:val="%1."/>
      <w:lvlJc w:val="left"/>
      <w:pPr>
        <w:ind w:left="264"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823" w:hanging="180"/>
      </w:pPr>
      <w:rPr>
        <w:rFonts w:hint="default"/>
        <w:lang w:val="en-US" w:eastAsia="en-US" w:bidi="ar-SA"/>
      </w:rPr>
    </w:lvl>
    <w:lvl w:ilvl="2">
      <w:start w:val="0"/>
      <w:numFmt w:val="bullet"/>
      <w:lvlText w:val="•"/>
      <w:lvlJc w:val="left"/>
      <w:pPr>
        <w:ind w:left="1387" w:hanging="180"/>
      </w:pPr>
      <w:rPr>
        <w:rFonts w:hint="default"/>
        <w:lang w:val="en-US" w:eastAsia="en-US" w:bidi="ar-SA"/>
      </w:rPr>
    </w:lvl>
    <w:lvl w:ilvl="3">
      <w:start w:val="0"/>
      <w:numFmt w:val="bullet"/>
      <w:lvlText w:val="•"/>
      <w:lvlJc w:val="left"/>
      <w:pPr>
        <w:ind w:left="1951" w:hanging="180"/>
      </w:pPr>
      <w:rPr>
        <w:rFonts w:hint="default"/>
        <w:lang w:val="en-US" w:eastAsia="en-US" w:bidi="ar-SA"/>
      </w:rPr>
    </w:lvl>
    <w:lvl w:ilvl="4">
      <w:start w:val="0"/>
      <w:numFmt w:val="bullet"/>
      <w:lvlText w:val="•"/>
      <w:lvlJc w:val="left"/>
      <w:pPr>
        <w:ind w:left="2515" w:hanging="180"/>
      </w:pPr>
      <w:rPr>
        <w:rFonts w:hint="default"/>
        <w:lang w:val="en-US" w:eastAsia="en-US" w:bidi="ar-SA"/>
      </w:rPr>
    </w:lvl>
    <w:lvl w:ilvl="5">
      <w:start w:val="0"/>
      <w:numFmt w:val="bullet"/>
      <w:lvlText w:val="•"/>
      <w:lvlJc w:val="left"/>
      <w:pPr>
        <w:ind w:left="3079" w:hanging="180"/>
      </w:pPr>
      <w:rPr>
        <w:rFonts w:hint="default"/>
        <w:lang w:val="en-US" w:eastAsia="en-US" w:bidi="ar-SA"/>
      </w:rPr>
    </w:lvl>
    <w:lvl w:ilvl="6">
      <w:start w:val="0"/>
      <w:numFmt w:val="bullet"/>
      <w:lvlText w:val="•"/>
      <w:lvlJc w:val="left"/>
      <w:pPr>
        <w:ind w:left="3642" w:hanging="180"/>
      </w:pPr>
      <w:rPr>
        <w:rFonts w:hint="default"/>
        <w:lang w:val="en-US" w:eastAsia="en-US" w:bidi="ar-SA"/>
      </w:rPr>
    </w:lvl>
    <w:lvl w:ilvl="7">
      <w:start w:val="0"/>
      <w:numFmt w:val="bullet"/>
      <w:lvlText w:val="•"/>
      <w:lvlJc w:val="left"/>
      <w:pPr>
        <w:ind w:left="4206" w:hanging="180"/>
      </w:pPr>
      <w:rPr>
        <w:rFonts w:hint="default"/>
        <w:lang w:val="en-US" w:eastAsia="en-US" w:bidi="ar-SA"/>
      </w:rPr>
    </w:lvl>
    <w:lvl w:ilvl="8">
      <w:start w:val="0"/>
      <w:numFmt w:val="bullet"/>
      <w:lvlText w:val="•"/>
      <w:lvlJc w:val="left"/>
      <w:pPr>
        <w:ind w:left="4770" w:hanging="180"/>
      </w:pPr>
      <w:rPr>
        <w:rFonts w:hint="default"/>
        <w:lang w:val="en-US" w:eastAsia="en-US" w:bidi="ar-SA"/>
      </w:rPr>
    </w:lvl>
  </w:abstractNum>
  <w:abstractNum w:abstractNumId="31">
    <w:nsid w:val="50F0A892"/>
    <w:multiLevelType w:val="hybridMultilevel"/>
    <w:tmpl w:val="00000000"/>
    <w:lvl w:ilvl="0">
      <w:start w:val="1"/>
      <w:numFmt w:val="decimal"/>
      <w:lvlText w:val="%1."/>
      <w:lvlJc w:val="left"/>
      <w:pPr>
        <w:ind w:left="295" w:hanging="171"/>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024" w:hanging="171"/>
      </w:pPr>
      <w:rPr>
        <w:rFonts w:hint="default"/>
        <w:lang w:val="en-US" w:eastAsia="en-US" w:bidi="ar-SA"/>
      </w:rPr>
    </w:lvl>
    <w:lvl w:ilvl="2">
      <w:start w:val="0"/>
      <w:numFmt w:val="bullet"/>
      <w:lvlText w:val="•"/>
      <w:lvlJc w:val="left"/>
      <w:pPr>
        <w:ind w:left="1748" w:hanging="171"/>
      </w:pPr>
      <w:rPr>
        <w:rFonts w:hint="default"/>
        <w:lang w:val="en-US" w:eastAsia="en-US" w:bidi="ar-SA"/>
      </w:rPr>
    </w:lvl>
    <w:lvl w:ilvl="3">
      <w:start w:val="0"/>
      <w:numFmt w:val="bullet"/>
      <w:lvlText w:val="•"/>
      <w:lvlJc w:val="left"/>
      <w:pPr>
        <w:ind w:left="2472" w:hanging="171"/>
      </w:pPr>
      <w:rPr>
        <w:rFonts w:hint="default"/>
        <w:lang w:val="en-US" w:eastAsia="en-US" w:bidi="ar-SA"/>
      </w:rPr>
    </w:lvl>
    <w:lvl w:ilvl="4">
      <w:start w:val="0"/>
      <w:numFmt w:val="bullet"/>
      <w:lvlText w:val="•"/>
      <w:lvlJc w:val="left"/>
      <w:pPr>
        <w:ind w:left="3196" w:hanging="171"/>
      </w:pPr>
      <w:rPr>
        <w:rFonts w:hint="default"/>
        <w:lang w:val="en-US" w:eastAsia="en-US" w:bidi="ar-SA"/>
      </w:rPr>
    </w:lvl>
    <w:lvl w:ilvl="5">
      <w:start w:val="0"/>
      <w:numFmt w:val="bullet"/>
      <w:lvlText w:val="•"/>
      <w:lvlJc w:val="left"/>
      <w:pPr>
        <w:ind w:left="3920" w:hanging="171"/>
      </w:pPr>
      <w:rPr>
        <w:rFonts w:hint="default"/>
        <w:lang w:val="en-US" w:eastAsia="en-US" w:bidi="ar-SA"/>
      </w:rPr>
    </w:lvl>
    <w:lvl w:ilvl="6">
      <w:start w:val="0"/>
      <w:numFmt w:val="bullet"/>
      <w:lvlText w:val="•"/>
      <w:lvlJc w:val="left"/>
      <w:pPr>
        <w:ind w:left="4644" w:hanging="171"/>
      </w:pPr>
      <w:rPr>
        <w:rFonts w:hint="default"/>
        <w:lang w:val="en-US" w:eastAsia="en-US" w:bidi="ar-SA"/>
      </w:rPr>
    </w:lvl>
    <w:lvl w:ilvl="7">
      <w:start w:val="0"/>
      <w:numFmt w:val="bullet"/>
      <w:lvlText w:val="•"/>
      <w:lvlJc w:val="left"/>
      <w:pPr>
        <w:ind w:left="5368" w:hanging="171"/>
      </w:pPr>
      <w:rPr>
        <w:rFonts w:hint="default"/>
        <w:lang w:val="en-US" w:eastAsia="en-US" w:bidi="ar-SA"/>
      </w:rPr>
    </w:lvl>
    <w:lvl w:ilvl="8">
      <w:start w:val="0"/>
      <w:numFmt w:val="bullet"/>
      <w:lvlText w:val="•"/>
      <w:lvlJc w:val="left"/>
      <w:pPr>
        <w:ind w:left="6092" w:hanging="171"/>
      </w:pPr>
      <w:rPr>
        <w:rFonts w:hint="default"/>
        <w:lang w:val="en-US" w:eastAsia="en-US" w:bidi="ar-SA"/>
      </w:rPr>
    </w:lvl>
  </w:abstractNum>
  <w:abstractNum w:abstractNumId="32">
    <w:nsid w:val="52A4E18F"/>
    <w:multiLevelType w:val="hybridMultilevel"/>
    <w:tmpl w:val="00000000"/>
    <w:lvl w:ilvl="0">
      <w:start w:val="1"/>
      <w:numFmt w:val="decimal"/>
      <w:lvlText w:val="(%1)"/>
      <w:lvlJc w:val="left"/>
      <w:pPr>
        <w:ind w:left="547" w:hanging="252"/>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40" w:hanging="252"/>
      </w:pPr>
      <w:rPr>
        <w:rFonts w:hint="default"/>
        <w:lang w:val="en-US" w:eastAsia="en-US" w:bidi="ar-SA"/>
      </w:rPr>
    </w:lvl>
    <w:lvl w:ilvl="2">
      <w:start w:val="0"/>
      <w:numFmt w:val="bullet"/>
      <w:lvlText w:val="•"/>
      <w:lvlJc w:val="left"/>
      <w:pPr>
        <w:ind w:left="1940" w:hanging="252"/>
      </w:pPr>
      <w:rPr>
        <w:rFonts w:hint="default"/>
        <w:lang w:val="en-US" w:eastAsia="en-US" w:bidi="ar-SA"/>
      </w:rPr>
    </w:lvl>
    <w:lvl w:ilvl="3">
      <w:start w:val="0"/>
      <w:numFmt w:val="bullet"/>
      <w:lvlText w:val="•"/>
      <w:lvlJc w:val="left"/>
      <w:pPr>
        <w:ind w:left="2640" w:hanging="252"/>
      </w:pPr>
      <w:rPr>
        <w:rFonts w:hint="default"/>
        <w:lang w:val="en-US" w:eastAsia="en-US" w:bidi="ar-SA"/>
      </w:rPr>
    </w:lvl>
    <w:lvl w:ilvl="4">
      <w:start w:val="0"/>
      <w:numFmt w:val="bullet"/>
      <w:lvlText w:val="•"/>
      <w:lvlJc w:val="left"/>
      <w:pPr>
        <w:ind w:left="3340" w:hanging="252"/>
      </w:pPr>
      <w:rPr>
        <w:rFonts w:hint="default"/>
        <w:lang w:val="en-US" w:eastAsia="en-US" w:bidi="ar-SA"/>
      </w:rPr>
    </w:lvl>
    <w:lvl w:ilvl="5">
      <w:start w:val="0"/>
      <w:numFmt w:val="bullet"/>
      <w:lvlText w:val="•"/>
      <w:lvlJc w:val="left"/>
      <w:pPr>
        <w:ind w:left="4040" w:hanging="252"/>
      </w:pPr>
      <w:rPr>
        <w:rFonts w:hint="default"/>
        <w:lang w:val="en-US" w:eastAsia="en-US" w:bidi="ar-SA"/>
      </w:rPr>
    </w:lvl>
    <w:lvl w:ilvl="6">
      <w:start w:val="0"/>
      <w:numFmt w:val="bullet"/>
      <w:lvlText w:val="•"/>
      <w:lvlJc w:val="left"/>
      <w:pPr>
        <w:ind w:left="4740" w:hanging="252"/>
      </w:pPr>
      <w:rPr>
        <w:rFonts w:hint="default"/>
        <w:lang w:val="en-US" w:eastAsia="en-US" w:bidi="ar-SA"/>
      </w:rPr>
    </w:lvl>
    <w:lvl w:ilvl="7">
      <w:start w:val="0"/>
      <w:numFmt w:val="bullet"/>
      <w:lvlText w:val="•"/>
      <w:lvlJc w:val="left"/>
      <w:pPr>
        <w:ind w:left="5440" w:hanging="252"/>
      </w:pPr>
      <w:rPr>
        <w:rFonts w:hint="default"/>
        <w:lang w:val="en-US" w:eastAsia="en-US" w:bidi="ar-SA"/>
      </w:rPr>
    </w:lvl>
    <w:lvl w:ilvl="8">
      <w:start w:val="0"/>
      <w:numFmt w:val="bullet"/>
      <w:lvlText w:val="•"/>
      <w:lvlJc w:val="left"/>
      <w:pPr>
        <w:ind w:left="6140" w:hanging="252"/>
      </w:pPr>
      <w:rPr>
        <w:rFonts w:hint="default"/>
        <w:lang w:val="en-US" w:eastAsia="en-US" w:bidi="ar-SA"/>
      </w:rPr>
    </w:lvl>
  </w:abstractNum>
  <w:abstractNum w:abstractNumId="33">
    <w:nsid w:val="55C011A1"/>
    <w:multiLevelType w:val="hybridMultilevel"/>
    <w:tmpl w:val="00000000"/>
    <w:lvl w:ilvl="0">
      <w:start w:val="1"/>
      <w:numFmt w:val="decimal"/>
      <w:lvlText w:val="%1."/>
      <w:lvlJc w:val="left"/>
      <w:pPr>
        <w:ind w:left="264"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823" w:hanging="180"/>
      </w:pPr>
      <w:rPr>
        <w:rFonts w:hint="default"/>
        <w:lang w:val="en-US" w:eastAsia="en-US" w:bidi="ar-SA"/>
      </w:rPr>
    </w:lvl>
    <w:lvl w:ilvl="2">
      <w:start w:val="0"/>
      <w:numFmt w:val="bullet"/>
      <w:lvlText w:val="•"/>
      <w:lvlJc w:val="left"/>
      <w:pPr>
        <w:ind w:left="1387" w:hanging="180"/>
      </w:pPr>
      <w:rPr>
        <w:rFonts w:hint="default"/>
        <w:lang w:val="en-US" w:eastAsia="en-US" w:bidi="ar-SA"/>
      </w:rPr>
    </w:lvl>
    <w:lvl w:ilvl="3">
      <w:start w:val="0"/>
      <w:numFmt w:val="bullet"/>
      <w:lvlText w:val="•"/>
      <w:lvlJc w:val="left"/>
      <w:pPr>
        <w:ind w:left="1951" w:hanging="180"/>
      </w:pPr>
      <w:rPr>
        <w:rFonts w:hint="default"/>
        <w:lang w:val="en-US" w:eastAsia="en-US" w:bidi="ar-SA"/>
      </w:rPr>
    </w:lvl>
    <w:lvl w:ilvl="4">
      <w:start w:val="0"/>
      <w:numFmt w:val="bullet"/>
      <w:lvlText w:val="•"/>
      <w:lvlJc w:val="left"/>
      <w:pPr>
        <w:ind w:left="2515" w:hanging="180"/>
      </w:pPr>
      <w:rPr>
        <w:rFonts w:hint="default"/>
        <w:lang w:val="en-US" w:eastAsia="en-US" w:bidi="ar-SA"/>
      </w:rPr>
    </w:lvl>
    <w:lvl w:ilvl="5">
      <w:start w:val="0"/>
      <w:numFmt w:val="bullet"/>
      <w:lvlText w:val="•"/>
      <w:lvlJc w:val="left"/>
      <w:pPr>
        <w:ind w:left="3079" w:hanging="180"/>
      </w:pPr>
      <w:rPr>
        <w:rFonts w:hint="default"/>
        <w:lang w:val="en-US" w:eastAsia="en-US" w:bidi="ar-SA"/>
      </w:rPr>
    </w:lvl>
    <w:lvl w:ilvl="6">
      <w:start w:val="0"/>
      <w:numFmt w:val="bullet"/>
      <w:lvlText w:val="•"/>
      <w:lvlJc w:val="left"/>
      <w:pPr>
        <w:ind w:left="3642" w:hanging="180"/>
      </w:pPr>
      <w:rPr>
        <w:rFonts w:hint="default"/>
        <w:lang w:val="en-US" w:eastAsia="en-US" w:bidi="ar-SA"/>
      </w:rPr>
    </w:lvl>
    <w:lvl w:ilvl="7">
      <w:start w:val="0"/>
      <w:numFmt w:val="bullet"/>
      <w:lvlText w:val="•"/>
      <w:lvlJc w:val="left"/>
      <w:pPr>
        <w:ind w:left="4206" w:hanging="180"/>
      </w:pPr>
      <w:rPr>
        <w:rFonts w:hint="default"/>
        <w:lang w:val="en-US" w:eastAsia="en-US" w:bidi="ar-SA"/>
      </w:rPr>
    </w:lvl>
    <w:lvl w:ilvl="8">
      <w:start w:val="0"/>
      <w:numFmt w:val="bullet"/>
      <w:lvlText w:val="•"/>
      <w:lvlJc w:val="left"/>
      <w:pPr>
        <w:ind w:left="4770" w:hanging="180"/>
      </w:pPr>
      <w:rPr>
        <w:rFonts w:hint="default"/>
        <w:lang w:val="en-US" w:eastAsia="en-US" w:bidi="ar-SA"/>
      </w:rPr>
    </w:lvl>
  </w:abstractNum>
  <w:abstractNum w:abstractNumId="34">
    <w:nsid w:val="57F06495"/>
    <w:multiLevelType w:val="hybridMultilevel"/>
    <w:tmpl w:val="00000000"/>
    <w:lvl w:ilvl="0">
      <w:start w:val="1"/>
      <w:numFmt w:val="decimal"/>
      <w:lvlText w:val="%1."/>
      <w:lvlJc w:val="left"/>
      <w:pPr>
        <w:ind w:left="563"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58" w:hanging="180"/>
      </w:pPr>
      <w:rPr>
        <w:rFonts w:hint="default"/>
        <w:lang w:val="en-US" w:eastAsia="en-US" w:bidi="ar-SA"/>
      </w:rPr>
    </w:lvl>
    <w:lvl w:ilvl="2">
      <w:start w:val="0"/>
      <w:numFmt w:val="bullet"/>
      <w:lvlText w:val="•"/>
      <w:lvlJc w:val="left"/>
      <w:pPr>
        <w:ind w:left="1956" w:hanging="180"/>
      </w:pPr>
      <w:rPr>
        <w:rFonts w:hint="default"/>
        <w:lang w:val="en-US" w:eastAsia="en-US" w:bidi="ar-SA"/>
      </w:rPr>
    </w:lvl>
    <w:lvl w:ilvl="3">
      <w:start w:val="0"/>
      <w:numFmt w:val="bullet"/>
      <w:lvlText w:val="•"/>
      <w:lvlJc w:val="left"/>
      <w:pPr>
        <w:ind w:left="2654" w:hanging="180"/>
      </w:pPr>
      <w:rPr>
        <w:rFonts w:hint="default"/>
        <w:lang w:val="en-US" w:eastAsia="en-US" w:bidi="ar-SA"/>
      </w:rPr>
    </w:lvl>
    <w:lvl w:ilvl="4">
      <w:start w:val="0"/>
      <w:numFmt w:val="bullet"/>
      <w:lvlText w:val="•"/>
      <w:lvlJc w:val="left"/>
      <w:pPr>
        <w:ind w:left="3352" w:hanging="180"/>
      </w:pPr>
      <w:rPr>
        <w:rFonts w:hint="default"/>
        <w:lang w:val="en-US" w:eastAsia="en-US" w:bidi="ar-SA"/>
      </w:rPr>
    </w:lvl>
    <w:lvl w:ilvl="5">
      <w:start w:val="0"/>
      <w:numFmt w:val="bullet"/>
      <w:lvlText w:val="•"/>
      <w:lvlJc w:val="left"/>
      <w:pPr>
        <w:ind w:left="4050" w:hanging="180"/>
      </w:pPr>
      <w:rPr>
        <w:rFonts w:hint="default"/>
        <w:lang w:val="en-US" w:eastAsia="en-US" w:bidi="ar-SA"/>
      </w:rPr>
    </w:lvl>
    <w:lvl w:ilvl="6">
      <w:start w:val="0"/>
      <w:numFmt w:val="bullet"/>
      <w:lvlText w:val="•"/>
      <w:lvlJc w:val="left"/>
      <w:pPr>
        <w:ind w:left="4748" w:hanging="180"/>
      </w:pPr>
      <w:rPr>
        <w:rFonts w:hint="default"/>
        <w:lang w:val="en-US" w:eastAsia="en-US" w:bidi="ar-SA"/>
      </w:rPr>
    </w:lvl>
    <w:lvl w:ilvl="7">
      <w:start w:val="0"/>
      <w:numFmt w:val="bullet"/>
      <w:lvlText w:val="•"/>
      <w:lvlJc w:val="left"/>
      <w:pPr>
        <w:ind w:left="5446" w:hanging="180"/>
      </w:pPr>
      <w:rPr>
        <w:rFonts w:hint="default"/>
        <w:lang w:val="en-US" w:eastAsia="en-US" w:bidi="ar-SA"/>
      </w:rPr>
    </w:lvl>
    <w:lvl w:ilvl="8">
      <w:start w:val="0"/>
      <w:numFmt w:val="bullet"/>
      <w:lvlText w:val="•"/>
      <w:lvlJc w:val="left"/>
      <w:pPr>
        <w:ind w:left="6144" w:hanging="180"/>
      </w:pPr>
      <w:rPr>
        <w:rFonts w:hint="default"/>
        <w:lang w:val="en-US" w:eastAsia="en-US" w:bidi="ar-SA"/>
      </w:rPr>
    </w:lvl>
  </w:abstractNum>
  <w:abstractNum w:abstractNumId="35">
    <w:nsid w:val="58435710"/>
    <w:multiLevelType w:val="hybridMultilevel"/>
    <w:tmpl w:val="00000000"/>
    <w:lvl w:ilvl="0">
      <w:start w:val="1"/>
      <w:numFmt w:val="decimal"/>
      <w:lvlText w:val="%1."/>
      <w:lvlJc w:val="left"/>
      <w:pPr>
        <w:ind w:left="84" w:hanging="216"/>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661" w:hanging="216"/>
      </w:pPr>
      <w:rPr>
        <w:rFonts w:hint="default"/>
        <w:lang w:val="en-US" w:eastAsia="en-US" w:bidi="ar-SA"/>
      </w:rPr>
    </w:lvl>
    <w:lvl w:ilvl="2">
      <w:start w:val="0"/>
      <w:numFmt w:val="bullet"/>
      <w:lvlText w:val="•"/>
      <w:lvlJc w:val="left"/>
      <w:pPr>
        <w:ind w:left="1243" w:hanging="216"/>
      </w:pPr>
      <w:rPr>
        <w:rFonts w:hint="default"/>
        <w:lang w:val="en-US" w:eastAsia="en-US" w:bidi="ar-SA"/>
      </w:rPr>
    </w:lvl>
    <w:lvl w:ilvl="3">
      <w:start w:val="0"/>
      <w:numFmt w:val="bullet"/>
      <w:lvlText w:val="•"/>
      <w:lvlJc w:val="left"/>
      <w:pPr>
        <w:ind w:left="1825" w:hanging="216"/>
      </w:pPr>
      <w:rPr>
        <w:rFonts w:hint="default"/>
        <w:lang w:val="en-US" w:eastAsia="en-US" w:bidi="ar-SA"/>
      </w:rPr>
    </w:lvl>
    <w:lvl w:ilvl="4">
      <w:start w:val="0"/>
      <w:numFmt w:val="bullet"/>
      <w:lvlText w:val="•"/>
      <w:lvlJc w:val="left"/>
      <w:pPr>
        <w:ind w:left="2407" w:hanging="216"/>
      </w:pPr>
      <w:rPr>
        <w:rFonts w:hint="default"/>
        <w:lang w:val="en-US" w:eastAsia="en-US" w:bidi="ar-SA"/>
      </w:rPr>
    </w:lvl>
    <w:lvl w:ilvl="5">
      <w:start w:val="0"/>
      <w:numFmt w:val="bullet"/>
      <w:lvlText w:val="•"/>
      <w:lvlJc w:val="left"/>
      <w:pPr>
        <w:ind w:left="2989" w:hanging="216"/>
      </w:pPr>
      <w:rPr>
        <w:rFonts w:hint="default"/>
        <w:lang w:val="en-US" w:eastAsia="en-US" w:bidi="ar-SA"/>
      </w:rPr>
    </w:lvl>
    <w:lvl w:ilvl="6">
      <w:start w:val="0"/>
      <w:numFmt w:val="bullet"/>
      <w:lvlText w:val="•"/>
      <w:lvlJc w:val="left"/>
      <w:pPr>
        <w:ind w:left="3570" w:hanging="216"/>
      </w:pPr>
      <w:rPr>
        <w:rFonts w:hint="default"/>
        <w:lang w:val="en-US" w:eastAsia="en-US" w:bidi="ar-SA"/>
      </w:rPr>
    </w:lvl>
    <w:lvl w:ilvl="7">
      <w:start w:val="0"/>
      <w:numFmt w:val="bullet"/>
      <w:lvlText w:val="•"/>
      <w:lvlJc w:val="left"/>
      <w:pPr>
        <w:ind w:left="4152" w:hanging="216"/>
      </w:pPr>
      <w:rPr>
        <w:rFonts w:hint="default"/>
        <w:lang w:val="en-US" w:eastAsia="en-US" w:bidi="ar-SA"/>
      </w:rPr>
    </w:lvl>
    <w:lvl w:ilvl="8">
      <w:start w:val="0"/>
      <w:numFmt w:val="bullet"/>
      <w:lvlText w:val="•"/>
      <w:lvlJc w:val="left"/>
      <w:pPr>
        <w:ind w:left="4734" w:hanging="216"/>
      </w:pPr>
      <w:rPr>
        <w:rFonts w:hint="default"/>
        <w:lang w:val="en-US" w:eastAsia="en-US" w:bidi="ar-SA"/>
      </w:rPr>
    </w:lvl>
  </w:abstractNum>
  <w:abstractNum w:abstractNumId="36">
    <w:nsid w:val="5902E96C"/>
    <w:multiLevelType w:val="hybridMultilevel"/>
    <w:tmpl w:val="00000000"/>
    <w:lvl w:ilvl="0">
      <w:start w:val="1"/>
      <w:numFmt w:val="decimal"/>
      <w:lvlText w:val="%1."/>
      <w:lvlJc w:val="left"/>
      <w:pPr>
        <w:ind w:left="475"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186" w:hanging="180"/>
      </w:pPr>
      <w:rPr>
        <w:rFonts w:hint="default"/>
        <w:lang w:val="en-US" w:eastAsia="en-US" w:bidi="ar-SA"/>
      </w:rPr>
    </w:lvl>
    <w:lvl w:ilvl="2">
      <w:start w:val="0"/>
      <w:numFmt w:val="bullet"/>
      <w:lvlText w:val="•"/>
      <w:lvlJc w:val="left"/>
      <w:pPr>
        <w:ind w:left="1892" w:hanging="180"/>
      </w:pPr>
      <w:rPr>
        <w:rFonts w:hint="default"/>
        <w:lang w:val="en-US" w:eastAsia="en-US" w:bidi="ar-SA"/>
      </w:rPr>
    </w:lvl>
    <w:lvl w:ilvl="3">
      <w:start w:val="0"/>
      <w:numFmt w:val="bullet"/>
      <w:lvlText w:val="•"/>
      <w:lvlJc w:val="left"/>
      <w:pPr>
        <w:ind w:left="2598" w:hanging="180"/>
      </w:pPr>
      <w:rPr>
        <w:rFonts w:hint="default"/>
        <w:lang w:val="en-US" w:eastAsia="en-US" w:bidi="ar-SA"/>
      </w:rPr>
    </w:lvl>
    <w:lvl w:ilvl="4">
      <w:start w:val="0"/>
      <w:numFmt w:val="bullet"/>
      <w:lvlText w:val="•"/>
      <w:lvlJc w:val="left"/>
      <w:pPr>
        <w:ind w:left="3304" w:hanging="180"/>
      </w:pPr>
      <w:rPr>
        <w:rFonts w:hint="default"/>
        <w:lang w:val="en-US" w:eastAsia="en-US" w:bidi="ar-SA"/>
      </w:rPr>
    </w:lvl>
    <w:lvl w:ilvl="5">
      <w:start w:val="0"/>
      <w:numFmt w:val="bullet"/>
      <w:lvlText w:val="•"/>
      <w:lvlJc w:val="left"/>
      <w:pPr>
        <w:ind w:left="4010" w:hanging="180"/>
      </w:pPr>
      <w:rPr>
        <w:rFonts w:hint="default"/>
        <w:lang w:val="en-US" w:eastAsia="en-US" w:bidi="ar-SA"/>
      </w:rPr>
    </w:lvl>
    <w:lvl w:ilvl="6">
      <w:start w:val="0"/>
      <w:numFmt w:val="bullet"/>
      <w:lvlText w:val="•"/>
      <w:lvlJc w:val="left"/>
      <w:pPr>
        <w:ind w:left="4716" w:hanging="180"/>
      </w:pPr>
      <w:rPr>
        <w:rFonts w:hint="default"/>
        <w:lang w:val="en-US" w:eastAsia="en-US" w:bidi="ar-SA"/>
      </w:rPr>
    </w:lvl>
    <w:lvl w:ilvl="7">
      <w:start w:val="0"/>
      <w:numFmt w:val="bullet"/>
      <w:lvlText w:val="•"/>
      <w:lvlJc w:val="left"/>
      <w:pPr>
        <w:ind w:left="5422" w:hanging="180"/>
      </w:pPr>
      <w:rPr>
        <w:rFonts w:hint="default"/>
        <w:lang w:val="en-US" w:eastAsia="en-US" w:bidi="ar-SA"/>
      </w:rPr>
    </w:lvl>
    <w:lvl w:ilvl="8">
      <w:start w:val="0"/>
      <w:numFmt w:val="bullet"/>
      <w:lvlText w:val="•"/>
      <w:lvlJc w:val="left"/>
      <w:pPr>
        <w:ind w:left="6128" w:hanging="180"/>
      </w:pPr>
      <w:rPr>
        <w:rFonts w:hint="default"/>
        <w:lang w:val="en-US" w:eastAsia="en-US" w:bidi="ar-SA"/>
      </w:rPr>
    </w:lvl>
  </w:abstractNum>
  <w:abstractNum w:abstractNumId="37">
    <w:nsid w:val="5920EE34"/>
    <w:multiLevelType w:val="hybridMultilevel"/>
    <w:tmpl w:val="00000000"/>
    <w:lvl w:ilvl="0">
      <w:start w:val="1"/>
      <w:numFmt w:val="lowerLetter"/>
      <w:lvlText w:val="%1)"/>
      <w:lvlJc w:val="left"/>
      <w:pPr>
        <w:ind w:left="83" w:hanging="141"/>
        <w:jc w:val="left"/>
      </w:pPr>
      <w:rPr>
        <w:rFonts w:ascii="Times New Roman" w:eastAsia="Times New Roman" w:hAnsi="Times New Roman" w:cs="Times New Roman" w:hint="default"/>
        <w:b w:val="0"/>
        <w:bCs w:val="0"/>
        <w:i w:val="0"/>
        <w:iCs w:val="0"/>
        <w:spacing w:val="-1"/>
        <w:w w:val="97"/>
        <w:sz w:val="16"/>
        <w:szCs w:val="16"/>
        <w:lang w:val="en-US" w:eastAsia="en-US" w:bidi="ar-SA"/>
      </w:rPr>
    </w:lvl>
    <w:lvl w:ilvl="1">
      <w:start w:val="0"/>
      <w:numFmt w:val="bullet"/>
      <w:lvlText w:val="•"/>
      <w:lvlJc w:val="left"/>
      <w:pPr>
        <w:ind w:left="624" w:hanging="141"/>
      </w:pPr>
      <w:rPr>
        <w:rFonts w:hint="default"/>
        <w:lang w:val="en-US" w:eastAsia="en-US" w:bidi="ar-SA"/>
      </w:rPr>
    </w:lvl>
    <w:lvl w:ilvl="2">
      <w:start w:val="0"/>
      <w:numFmt w:val="bullet"/>
      <w:lvlText w:val="•"/>
      <w:lvlJc w:val="left"/>
      <w:pPr>
        <w:ind w:left="1168" w:hanging="141"/>
      </w:pPr>
      <w:rPr>
        <w:rFonts w:hint="default"/>
        <w:lang w:val="en-US" w:eastAsia="en-US" w:bidi="ar-SA"/>
      </w:rPr>
    </w:lvl>
    <w:lvl w:ilvl="3">
      <w:start w:val="0"/>
      <w:numFmt w:val="bullet"/>
      <w:lvlText w:val="•"/>
      <w:lvlJc w:val="left"/>
      <w:pPr>
        <w:ind w:left="1712" w:hanging="141"/>
      </w:pPr>
      <w:rPr>
        <w:rFonts w:hint="default"/>
        <w:lang w:val="en-US" w:eastAsia="en-US" w:bidi="ar-SA"/>
      </w:rPr>
    </w:lvl>
    <w:lvl w:ilvl="4">
      <w:start w:val="0"/>
      <w:numFmt w:val="bullet"/>
      <w:lvlText w:val="•"/>
      <w:lvlJc w:val="left"/>
      <w:pPr>
        <w:ind w:left="2257" w:hanging="141"/>
      </w:pPr>
      <w:rPr>
        <w:rFonts w:hint="default"/>
        <w:lang w:val="en-US" w:eastAsia="en-US" w:bidi="ar-SA"/>
      </w:rPr>
    </w:lvl>
    <w:lvl w:ilvl="5">
      <w:start w:val="0"/>
      <w:numFmt w:val="bullet"/>
      <w:lvlText w:val="•"/>
      <w:lvlJc w:val="left"/>
      <w:pPr>
        <w:ind w:left="2801" w:hanging="141"/>
      </w:pPr>
      <w:rPr>
        <w:rFonts w:hint="default"/>
        <w:lang w:val="en-US" w:eastAsia="en-US" w:bidi="ar-SA"/>
      </w:rPr>
    </w:lvl>
    <w:lvl w:ilvl="6">
      <w:start w:val="0"/>
      <w:numFmt w:val="bullet"/>
      <w:lvlText w:val="•"/>
      <w:lvlJc w:val="left"/>
      <w:pPr>
        <w:ind w:left="3345" w:hanging="141"/>
      </w:pPr>
      <w:rPr>
        <w:rFonts w:hint="default"/>
        <w:lang w:val="en-US" w:eastAsia="en-US" w:bidi="ar-SA"/>
      </w:rPr>
    </w:lvl>
    <w:lvl w:ilvl="7">
      <w:start w:val="0"/>
      <w:numFmt w:val="bullet"/>
      <w:lvlText w:val="•"/>
      <w:lvlJc w:val="left"/>
      <w:pPr>
        <w:ind w:left="3890" w:hanging="141"/>
      </w:pPr>
      <w:rPr>
        <w:rFonts w:hint="default"/>
        <w:lang w:val="en-US" w:eastAsia="en-US" w:bidi="ar-SA"/>
      </w:rPr>
    </w:lvl>
    <w:lvl w:ilvl="8">
      <w:start w:val="0"/>
      <w:numFmt w:val="bullet"/>
      <w:lvlText w:val="•"/>
      <w:lvlJc w:val="left"/>
      <w:pPr>
        <w:ind w:left="4434" w:hanging="141"/>
      </w:pPr>
      <w:rPr>
        <w:rFonts w:hint="default"/>
        <w:lang w:val="en-US" w:eastAsia="en-US" w:bidi="ar-SA"/>
      </w:rPr>
    </w:lvl>
  </w:abstractNum>
  <w:abstractNum w:abstractNumId="38">
    <w:nsid w:val="59BC3C01"/>
    <w:multiLevelType w:val="hybridMultilevel"/>
    <w:tmpl w:val="00000000"/>
    <w:lvl w:ilvl="0">
      <w:start w:val="1"/>
      <w:numFmt w:val="decimal"/>
      <w:lvlText w:val="(%1)"/>
      <w:lvlJc w:val="left"/>
      <w:pPr>
        <w:ind w:left="549" w:hanging="25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40" w:hanging="255"/>
      </w:pPr>
      <w:rPr>
        <w:rFonts w:hint="default"/>
        <w:lang w:val="en-US" w:eastAsia="en-US" w:bidi="ar-SA"/>
      </w:rPr>
    </w:lvl>
    <w:lvl w:ilvl="2">
      <w:start w:val="0"/>
      <w:numFmt w:val="bullet"/>
      <w:lvlText w:val="•"/>
      <w:lvlJc w:val="left"/>
      <w:pPr>
        <w:ind w:left="1940" w:hanging="255"/>
      </w:pPr>
      <w:rPr>
        <w:rFonts w:hint="default"/>
        <w:lang w:val="en-US" w:eastAsia="en-US" w:bidi="ar-SA"/>
      </w:rPr>
    </w:lvl>
    <w:lvl w:ilvl="3">
      <w:start w:val="0"/>
      <w:numFmt w:val="bullet"/>
      <w:lvlText w:val="•"/>
      <w:lvlJc w:val="left"/>
      <w:pPr>
        <w:ind w:left="2640" w:hanging="255"/>
      </w:pPr>
      <w:rPr>
        <w:rFonts w:hint="default"/>
        <w:lang w:val="en-US" w:eastAsia="en-US" w:bidi="ar-SA"/>
      </w:rPr>
    </w:lvl>
    <w:lvl w:ilvl="4">
      <w:start w:val="0"/>
      <w:numFmt w:val="bullet"/>
      <w:lvlText w:val="•"/>
      <w:lvlJc w:val="left"/>
      <w:pPr>
        <w:ind w:left="3340" w:hanging="255"/>
      </w:pPr>
      <w:rPr>
        <w:rFonts w:hint="default"/>
        <w:lang w:val="en-US" w:eastAsia="en-US" w:bidi="ar-SA"/>
      </w:rPr>
    </w:lvl>
    <w:lvl w:ilvl="5">
      <w:start w:val="0"/>
      <w:numFmt w:val="bullet"/>
      <w:lvlText w:val="•"/>
      <w:lvlJc w:val="left"/>
      <w:pPr>
        <w:ind w:left="4040" w:hanging="255"/>
      </w:pPr>
      <w:rPr>
        <w:rFonts w:hint="default"/>
        <w:lang w:val="en-US" w:eastAsia="en-US" w:bidi="ar-SA"/>
      </w:rPr>
    </w:lvl>
    <w:lvl w:ilvl="6">
      <w:start w:val="0"/>
      <w:numFmt w:val="bullet"/>
      <w:lvlText w:val="•"/>
      <w:lvlJc w:val="left"/>
      <w:pPr>
        <w:ind w:left="4740" w:hanging="255"/>
      </w:pPr>
      <w:rPr>
        <w:rFonts w:hint="default"/>
        <w:lang w:val="en-US" w:eastAsia="en-US" w:bidi="ar-SA"/>
      </w:rPr>
    </w:lvl>
    <w:lvl w:ilvl="7">
      <w:start w:val="0"/>
      <w:numFmt w:val="bullet"/>
      <w:lvlText w:val="•"/>
      <w:lvlJc w:val="left"/>
      <w:pPr>
        <w:ind w:left="5440" w:hanging="255"/>
      </w:pPr>
      <w:rPr>
        <w:rFonts w:hint="default"/>
        <w:lang w:val="en-US" w:eastAsia="en-US" w:bidi="ar-SA"/>
      </w:rPr>
    </w:lvl>
    <w:lvl w:ilvl="8">
      <w:start w:val="0"/>
      <w:numFmt w:val="bullet"/>
      <w:lvlText w:val="•"/>
      <w:lvlJc w:val="left"/>
      <w:pPr>
        <w:ind w:left="6140" w:hanging="255"/>
      </w:pPr>
      <w:rPr>
        <w:rFonts w:hint="default"/>
        <w:lang w:val="en-US" w:eastAsia="en-US" w:bidi="ar-SA"/>
      </w:rPr>
    </w:lvl>
  </w:abstractNum>
  <w:abstractNum w:abstractNumId="39">
    <w:nsid w:val="5FDB9FEE"/>
    <w:multiLevelType w:val="hybridMultilevel"/>
    <w:tmpl w:val="00000000"/>
    <w:lvl w:ilvl="0">
      <w:start w:val="1"/>
      <w:numFmt w:val="decimal"/>
      <w:lvlText w:val="(%1)"/>
      <w:lvlJc w:val="left"/>
      <w:pPr>
        <w:ind w:left="539" w:hanging="24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240" w:hanging="245"/>
      </w:pPr>
      <w:rPr>
        <w:rFonts w:hint="default"/>
        <w:lang w:val="en-US" w:eastAsia="en-US" w:bidi="ar-SA"/>
      </w:rPr>
    </w:lvl>
    <w:lvl w:ilvl="2">
      <w:start w:val="0"/>
      <w:numFmt w:val="bullet"/>
      <w:lvlText w:val="•"/>
      <w:lvlJc w:val="left"/>
      <w:pPr>
        <w:ind w:left="1940" w:hanging="245"/>
      </w:pPr>
      <w:rPr>
        <w:rFonts w:hint="default"/>
        <w:lang w:val="en-US" w:eastAsia="en-US" w:bidi="ar-SA"/>
      </w:rPr>
    </w:lvl>
    <w:lvl w:ilvl="3">
      <w:start w:val="0"/>
      <w:numFmt w:val="bullet"/>
      <w:lvlText w:val="•"/>
      <w:lvlJc w:val="left"/>
      <w:pPr>
        <w:ind w:left="2640" w:hanging="245"/>
      </w:pPr>
      <w:rPr>
        <w:rFonts w:hint="default"/>
        <w:lang w:val="en-US" w:eastAsia="en-US" w:bidi="ar-SA"/>
      </w:rPr>
    </w:lvl>
    <w:lvl w:ilvl="4">
      <w:start w:val="0"/>
      <w:numFmt w:val="bullet"/>
      <w:lvlText w:val="•"/>
      <w:lvlJc w:val="left"/>
      <w:pPr>
        <w:ind w:left="3340" w:hanging="245"/>
      </w:pPr>
      <w:rPr>
        <w:rFonts w:hint="default"/>
        <w:lang w:val="en-US" w:eastAsia="en-US" w:bidi="ar-SA"/>
      </w:rPr>
    </w:lvl>
    <w:lvl w:ilvl="5">
      <w:start w:val="0"/>
      <w:numFmt w:val="bullet"/>
      <w:lvlText w:val="•"/>
      <w:lvlJc w:val="left"/>
      <w:pPr>
        <w:ind w:left="4040" w:hanging="245"/>
      </w:pPr>
      <w:rPr>
        <w:rFonts w:hint="default"/>
        <w:lang w:val="en-US" w:eastAsia="en-US" w:bidi="ar-SA"/>
      </w:rPr>
    </w:lvl>
    <w:lvl w:ilvl="6">
      <w:start w:val="0"/>
      <w:numFmt w:val="bullet"/>
      <w:lvlText w:val="•"/>
      <w:lvlJc w:val="left"/>
      <w:pPr>
        <w:ind w:left="4740" w:hanging="245"/>
      </w:pPr>
      <w:rPr>
        <w:rFonts w:hint="default"/>
        <w:lang w:val="en-US" w:eastAsia="en-US" w:bidi="ar-SA"/>
      </w:rPr>
    </w:lvl>
    <w:lvl w:ilvl="7">
      <w:start w:val="0"/>
      <w:numFmt w:val="bullet"/>
      <w:lvlText w:val="•"/>
      <w:lvlJc w:val="left"/>
      <w:pPr>
        <w:ind w:left="5440" w:hanging="245"/>
      </w:pPr>
      <w:rPr>
        <w:rFonts w:hint="default"/>
        <w:lang w:val="en-US" w:eastAsia="en-US" w:bidi="ar-SA"/>
      </w:rPr>
    </w:lvl>
    <w:lvl w:ilvl="8">
      <w:start w:val="0"/>
      <w:numFmt w:val="bullet"/>
      <w:lvlText w:val="•"/>
      <w:lvlJc w:val="left"/>
      <w:pPr>
        <w:ind w:left="6140" w:hanging="245"/>
      </w:pPr>
      <w:rPr>
        <w:rFonts w:hint="default"/>
        <w:lang w:val="en-US" w:eastAsia="en-US" w:bidi="ar-SA"/>
      </w:rPr>
    </w:lvl>
  </w:abstractNum>
  <w:abstractNum w:abstractNumId="40">
    <w:nsid w:val="621600BF"/>
    <w:multiLevelType w:val="hybridMultilevel"/>
    <w:tmpl w:val="00000000"/>
    <w:lvl w:ilvl="0">
      <w:start w:val="1"/>
      <w:numFmt w:val="upperLetter"/>
      <w:lvlText w:val="%1)"/>
      <w:lvlJc w:val="left"/>
      <w:pPr>
        <w:ind w:left="295" w:hanging="236"/>
        <w:jc w:val="left"/>
      </w:pPr>
      <w:rPr>
        <w:rFonts w:ascii="Times New Roman" w:eastAsia="Times New Roman" w:hAnsi="Times New Roman" w:cs="Times New Roman" w:hint="default"/>
        <w:b w:val="0"/>
        <w:bCs w:val="0"/>
        <w:i w:val="0"/>
        <w:iCs w:val="0"/>
        <w:spacing w:val="-1"/>
        <w:w w:val="100"/>
        <w:sz w:val="18"/>
        <w:szCs w:val="18"/>
        <w:lang w:val="en-US" w:eastAsia="en-US" w:bidi="ar-SA"/>
      </w:rPr>
    </w:lvl>
    <w:lvl w:ilvl="1">
      <w:start w:val="1"/>
      <w:numFmt w:val="decimal"/>
      <w:lvlText w:val="(%2)"/>
      <w:lvlJc w:val="left"/>
      <w:pPr>
        <w:ind w:left="503" w:hanging="324"/>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2">
      <w:start w:val="0"/>
      <w:numFmt w:val="bullet"/>
      <w:lvlText w:val="•"/>
      <w:lvlJc w:val="left"/>
      <w:pPr>
        <w:ind w:left="1282" w:hanging="324"/>
      </w:pPr>
      <w:rPr>
        <w:rFonts w:hint="default"/>
        <w:lang w:val="en-US" w:eastAsia="en-US" w:bidi="ar-SA"/>
      </w:rPr>
    </w:lvl>
    <w:lvl w:ilvl="3">
      <w:start w:val="0"/>
      <w:numFmt w:val="bullet"/>
      <w:lvlText w:val="•"/>
      <w:lvlJc w:val="left"/>
      <w:pPr>
        <w:ind w:left="2064" w:hanging="324"/>
      </w:pPr>
      <w:rPr>
        <w:rFonts w:hint="default"/>
        <w:lang w:val="en-US" w:eastAsia="en-US" w:bidi="ar-SA"/>
      </w:rPr>
    </w:lvl>
    <w:lvl w:ilvl="4">
      <w:start w:val="0"/>
      <w:numFmt w:val="bullet"/>
      <w:lvlText w:val="•"/>
      <w:lvlJc w:val="left"/>
      <w:pPr>
        <w:ind w:left="2846" w:hanging="324"/>
      </w:pPr>
      <w:rPr>
        <w:rFonts w:hint="default"/>
        <w:lang w:val="en-US" w:eastAsia="en-US" w:bidi="ar-SA"/>
      </w:rPr>
    </w:lvl>
    <w:lvl w:ilvl="5">
      <w:start w:val="0"/>
      <w:numFmt w:val="bullet"/>
      <w:lvlText w:val="•"/>
      <w:lvlJc w:val="left"/>
      <w:pPr>
        <w:ind w:left="3628" w:hanging="324"/>
      </w:pPr>
      <w:rPr>
        <w:rFonts w:hint="default"/>
        <w:lang w:val="en-US" w:eastAsia="en-US" w:bidi="ar-SA"/>
      </w:rPr>
    </w:lvl>
    <w:lvl w:ilvl="6">
      <w:start w:val="0"/>
      <w:numFmt w:val="bullet"/>
      <w:lvlText w:val="•"/>
      <w:lvlJc w:val="left"/>
      <w:pPr>
        <w:ind w:left="4411" w:hanging="324"/>
      </w:pPr>
      <w:rPr>
        <w:rFonts w:hint="default"/>
        <w:lang w:val="en-US" w:eastAsia="en-US" w:bidi="ar-SA"/>
      </w:rPr>
    </w:lvl>
    <w:lvl w:ilvl="7">
      <w:start w:val="0"/>
      <w:numFmt w:val="bullet"/>
      <w:lvlText w:val="•"/>
      <w:lvlJc w:val="left"/>
      <w:pPr>
        <w:ind w:left="5193" w:hanging="324"/>
      </w:pPr>
      <w:rPr>
        <w:rFonts w:hint="default"/>
        <w:lang w:val="en-US" w:eastAsia="en-US" w:bidi="ar-SA"/>
      </w:rPr>
    </w:lvl>
    <w:lvl w:ilvl="8">
      <w:start w:val="0"/>
      <w:numFmt w:val="bullet"/>
      <w:lvlText w:val="•"/>
      <w:lvlJc w:val="left"/>
      <w:pPr>
        <w:ind w:left="5975" w:hanging="324"/>
      </w:pPr>
      <w:rPr>
        <w:rFonts w:hint="default"/>
        <w:lang w:val="en-US" w:eastAsia="en-US" w:bidi="ar-SA"/>
      </w:rPr>
    </w:lvl>
  </w:abstractNum>
  <w:abstractNum w:abstractNumId="41">
    <w:nsid w:val="6367F5E8"/>
    <w:multiLevelType w:val="hybridMultilevel"/>
    <w:tmpl w:val="00000000"/>
    <w:lvl w:ilvl="0">
      <w:start w:val="1"/>
      <w:numFmt w:val="decimal"/>
      <w:lvlText w:val="(%1)"/>
      <w:lvlJc w:val="left"/>
      <w:pPr>
        <w:ind w:left="295" w:hanging="30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024" w:hanging="300"/>
      </w:pPr>
      <w:rPr>
        <w:rFonts w:hint="default"/>
        <w:lang w:val="en-US" w:eastAsia="en-US" w:bidi="ar-SA"/>
      </w:rPr>
    </w:lvl>
    <w:lvl w:ilvl="2">
      <w:start w:val="0"/>
      <w:numFmt w:val="bullet"/>
      <w:lvlText w:val="•"/>
      <w:lvlJc w:val="left"/>
      <w:pPr>
        <w:ind w:left="1748" w:hanging="300"/>
      </w:pPr>
      <w:rPr>
        <w:rFonts w:hint="default"/>
        <w:lang w:val="en-US" w:eastAsia="en-US" w:bidi="ar-SA"/>
      </w:rPr>
    </w:lvl>
    <w:lvl w:ilvl="3">
      <w:start w:val="0"/>
      <w:numFmt w:val="bullet"/>
      <w:lvlText w:val="•"/>
      <w:lvlJc w:val="left"/>
      <w:pPr>
        <w:ind w:left="2472" w:hanging="300"/>
      </w:pPr>
      <w:rPr>
        <w:rFonts w:hint="default"/>
        <w:lang w:val="en-US" w:eastAsia="en-US" w:bidi="ar-SA"/>
      </w:rPr>
    </w:lvl>
    <w:lvl w:ilvl="4">
      <w:start w:val="0"/>
      <w:numFmt w:val="bullet"/>
      <w:lvlText w:val="•"/>
      <w:lvlJc w:val="left"/>
      <w:pPr>
        <w:ind w:left="3196" w:hanging="300"/>
      </w:pPr>
      <w:rPr>
        <w:rFonts w:hint="default"/>
        <w:lang w:val="en-US" w:eastAsia="en-US" w:bidi="ar-SA"/>
      </w:rPr>
    </w:lvl>
    <w:lvl w:ilvl="5">
      <w:start w:val="0"/>
      <w:numFmt w:val="bullet"/>
      <w:lvlText w:val="•"/>
      <w:lvlJc w:val="left"/>
      <w:pPr>
        <w:ind w:left="3920" w:hanging="300"/>
      </w:pPr>
      <w:rPr>
        <w:rFonts w:hint="default"/>
        <w:lang w:val="en-US" w:eastAsia="en-US" w:bidi="ar-SA"/>
      </w:rPr>
    </w:lvl>
    <w:lvl w:ilvl="6">
      <w:start w:val="0"/>
      <w:numFmt w:val="bullet"/>
      <w:lvlText w:val="•"/>
      <w:lvlJc w:val="left"/>
      <w:pPr>
        <w:ind w:left="4644" w:hanging="300"/>
      </w:pPr>
      <w:rPr>
        <w:rFonts w:hint="default"/>
        <w:lang w:val="en-US" w:eastAsia="en-US" w:bidi="ar-SA"/>
      </w:rPr>
    </w:lvl>
    <w:lvl w:ilvl="7">
      <w:start w:val="0"/>
      <w:numFmt w:val="bullet"/>
      <w:lvlText w:val="•"/>
      <w:lvlJc w:val="left"/>
      <w:pPr>
        <w:ind w:left="5368" w:hanging="300"/>
      </w:pPr>
      <w:rPr>
        <w:rFonts w:hint="default"/>
        <w:lang w:val="en-US" w:eastAsia="en-US" w:bidi="ar-SA"/>
      </w:rPr>
    </w:lvl>
    <w:lvl w:ilvl="8">
      <w:start w:val="0"/>
      <w:numFmt w:val="bullet"/>
      <w:lvlText w:val="•"/>
      <w:lvlJc w:val="left"/>
      <w:pPr>
        <w:ind w:left="6092" w:hanging="300"/>
      </w:pPr>
      <w:rPr>
        <w:rFonts w:hint="default"/>
        <w:lang w:val="en-US" w:eastAsia="en-US" w:bidi="ar-SA"/>
      </w:rPr>
    </w:lvl>
  </w:abstractNum>
  <w:abstractNum w:abstractNumId="42">
    <w:nsid w:val="6A468A59"/>
    <w:multiLevelType w:val="hybridMultilevel"/>
    <w:tmpl w:val="00000000"/>
    <w:lvl w:ilvl="0">
      <w:start w:val="1"/>
      <w:numFmt w:val="decimal"/>
      <w:lvlText w:val="%1."/>
      <w:lvlJc w:val="left"/>
      <w:pPr>
        <w:ind w:left="264"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823" w:hanging="180"/>
      </w:pPr>
      <w:rPr>
        <w:rFonts w:hint="default"/>
        <w:lang w:val="en-US" w:eastAsia="en-US" w:bidi="ar-SA"/>
      </w:rPr>
    </w:lvl>
    <w:lvl w:ilvl="2">
      <w:start w:val="0"/>
      <w:numFmt w:val="bullet"/>
      <w:lvlText w:val="•"/>
      <w:lvlJc w:val="left"/>
      <w:pPr>
        <w:ind w:left="1387" w:hanging="180"/>
      </w:pPr>
      <w:rPr>
        <w:rFonts w:hint="default"/>
        <w:lang w:val="en-US" w:eastAsia="en-US" w:bidi="ar-SA"/>
      </w:rPr>
    </w:lvl>
    <w:lvl w:ilvl="3">
      <w:start w:val="0"/>
      <w:numFmt w:val="bullet"/>
      <w:lvlText w:val="•"/>
      <w:lvlJc w:val="left"/>
      <w:pPr>
        <w:ind w:left="1951" w:hanging="180"/>
      </w:pPr>
      <w:rPr>
        <w:rFonts w:hint="default"/>
        <w:lang w:val="en-US" w:eastAsia="en-US" w:bidi="ar-SA"/>
      </w:rPr>
    </w:lvl>
    <w:lvl w:ilvl="4">
      <w:start w:val="0"/>
      <w:numFmt w:val="bullet"/>
      <w:lvlText w:val="•"/>
      <w:lvlJc w:val="left"/>
      <w:pPr>
        <w:ind w:left="2515" w:hanging="180"/>
      </w:pPr>
      <w:rPr>
        <w:rFonts w:hint="default"/>
        <w:lang w:val="en-US" w:eastAsia="en-US" w:bidi="ar-SA"/>
      </w:rPr>
    </w:lvl>
    <w:lvl w:ilvl="5">
      <w:start w:val="0"/>
      <w:numFmt w:val="bullet"/>
      <w:lvlText w:val="•"/>
      <w:lvlJc w:val="left"/>
      <w:pPr>
        <w:ind w:left="3079" w:hanging="180"/>
      </w:pPr>
      <w:rPr>
        <w:rFonts w:hint="default"/>
        <w:lang w:val="en-US" w:eastAsia="en-US" w:bidi="ar-SA"/>
      </w:rPr>
    </w:lvl>
    <w:lvl w:ilvl="6">
      <w:start w:val="0"/>
      <w:numFmt w:val="bullet"/>
      <w:lvlText w:val="•"/>
      <w:lvlJc w:val="left"/>
      <w:pPr>
        <w:ind w:left="3642" w:hanging="180"/>
      </w:pPr>
      <w:rPr>
        <w:rFonts w:hint="default"/>
        <w:lang w:val="en-US" w:eastAsia="en-US" w:bidi="ar-SA"/>
      </w:rPr>
    </w:lvl>
    <w:lvl w:ilvl="7">
      <w:start w:val="0"/>
      <w:numFmt w:val="bullet"/>
      <w:lvlText w:val="•"/>
      <w:lvlJc w:val="left"/>
      <w:pPr>
        <w:ind w:left="4206" w:hanging="180"/>
      </w:pPr>
      <w:rPr>
        <w:rFonts w:hint="default"/>
        <w:lang w:val="en-US" w:eastAsia="en-US" w:bidi="ar-SA"/>
      </w:rPr>
    </w:lvl>
    <w:lvl w:ilvl="8">
      <w:start w:val="0"/>
      <w:numFmt w:val="bullet"/>
      <w:lvlText w:val="•"/>
      <w:lvlJc w:val="left"/>
      <w:pPr>
        <w:ind w:left="4770" w:hanging="180"/>
      </w:pPr>
      <w:rPr>
        <w:rFonts w:hint="default"/>
        <w:lang w:val="en-US" w:eastAsia="en-US" w:bidi="ar-SA"/>
      </w:rPr>
    </w:lvl>
  </w:abstractNum>
  <w:abstractNum w:abstractNumId="43">
    <w:nsid w:val="70EDEE11"/>
    <w:multiLevelType w:val="hybridMultilevel"/>
    <w:tmpl w:val="00000000"/>
    <w:lvl w:ilvl="0">
      <w:start w:val="1"/>
      <w:numFmt w:val="decimal"/>
      <w:lvlText w:val="(%1)"/>
      <w:lvlJc w:val="left"/>
      <w:pPr>
        <w:ind w:left="295" w:hanging="267"/>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0"/>
      <w:numFmt w:val="bullet"/>
      <w:lvlText w:val="•"/>
      <w:lvlJc w:val="left"/>
      <w:pPr>
        <w:ind w:left="1024" w:hanging="267"/>
      </w:pPr>
      <w:rPr>
        <w:rFonts w:hint="default"/>
        <w:lang w:val="en-US" w:eastAsia="en-US" w:bidi="ar-SA"/>
      </w:rPr>
    </w:lvl>
    <w:lvl w:ilvl="2">
      <w:start w:val="0"/>
      <w:numFmt w:val="bullet"/>
      <w:lvlText w:val="•"/>
      <w:lvlJc w:val="left"/>
      <w:pPr>
        <w:ind w:left="1748" w:hanging="267"/>
      </w:pPr>
      <w:rPr>
        <w:rFonts w:hint="default"/>
        <w:lang w:val="en-US" w:eastAsia="en-US" w:bidi="ar-SA"/>
      </w:rPr>
    </w:lvl>
    <w:lvl w:ilvl="3">
      <w:start w:val="0"/>
      <w:numFmt w:val="bullet"/>
      <w:lvlText w:val="•"/>
      <w:lvlJc w:val="left"/>
      <w:pPr>
        <w:ind w:left="2472" w:hanging="267"/>
      </w:pPr>
      <w:rPr>
        <w:rFonts w:hint="default"/>
        <w:lang w:val="en-US" w:eastAsia="en-US" w:bidi="ar-SA"/>
      </w:rPr>
    </w:lvl>
    <w:lvl w:ilvl="4">
      <w:start w:val="0"/>
      <w:numFmt w:val="bullet"/>
      <w:lvlText w:val="•"/>
      <w:lvlJc w:val="left"/>
      <w:pPr>
        <w:ind w:left="3196" w:hanging="267"/>
      </w:pPr>
      <w:rPr>
        <w:rFonts w:hint="default"/>
        <w:lang w:val="en-US" w:eastAsia="en-US" w:bidi="ar-SA"/>
      </w:rPr>
    </w:lvl>
    <w:lvl w:ilvl="5">
      <w:start w:val="0"/>
      <w:numFmt w:val="bullet"/>
      <w:lvlText w:val="•"/>
      <w:lvlJc w:val="left"/>
      <w:pPr>
        <w:ind w:left="3920" w:hanging="267"/>
      </w:pPr>
      <w:rPr>
        <w:rFonts w:hint="default"/>
        <w:lang w:val="en-US" w:eastAsia="en-US" w:bidi="ar-SA"/>
      </w:rPr>
    </w:lvl>
    <w:lvl w:ilvl="6">
      <w:start w:val="0"/>
      <w:numFmt w:val="bullet"/>
      <w:lvlText w:val="•"/>
      <w:lvlJc w:val="left"/>
      <w:pPr>
        <w:ind w:left="4644" w:hanging="267"/>
      </w:pPr>
      <w:rPr>
        <w:rFonts w:hint="default"/>
        <w:lang w:val="en-US" w:eastAsia="en-US" w:bidi="ar-SA"/>
      </w:rPr>
    </w:lvl>
    <w:lvl w:ilvl="7">
      <w:start w:val="0"/>
      <w:numFmt w:val="bullet"/>
      <w:lvlText w:val="•"/>
      <w:lvlJc w:val="left"/>
      <w:pPr>
        <w:ind w:left="5368" w:hanging="267"/>
      </w:pPr>
      <w:rPr>
        <w:rFonts w:hint="default"/>
        <w:lang w:val="en-US" w:eastAsia="en-US" w:bidi="ar-SA"/>
      </w:rPr>
    </w:lvl>
    <w:lvl w:ilvl="8">
      <w:start w:val="0"/>
      <w:numFmt w:val="bullet"/>
      <w:lvlText w:val="•"/>
      <w:lvlJc w:val="left"/>
      <w:pPr>
        <w:ind w:left="6092" w:hanging="267"/>
      </w:pPr>
      <w:rPr>
        <w:rFonts w:hint="default"/>
        <w:lang w:val="en-US" w:eastAsia="en-US" w:bidi="ar-SA"/>
      </w:rPr>
    </w:lvl>
  </w:abstractNum>
  <w:num w:numId="1">
    <w:abstractNumId w:val="27"/>
  </w:num>
  <w:num w:numId="2">
    <w:abstractNumId w:val="18"/>
  </w:num>
  <w:num w:numId="3">
    <w:abstractNumId w:val="9"/>
  </w:num>
  <w:num w:numId="4">
    <w:abstractNumId w:val="17"/>
  </w:num>
  <w:num w:numId="5">
    <w:abstractNumId w:val="14"/>
  </w:num>
  <w:num w:numId="6">
    <w:abstractNumId w:val="34"/>
  </w:num>
  <w:num w:numId="7">
    <w:abstractNumId w:val="23"/>
  </w:num>
  <w:num w:numId="8">
    <w:abstractNumId w:val="36"/>
  </w:num>
  <w:num w:numId="9">
    <w:abstractNumId w:val="21"/>
  </w:num>
  <w:num w:numId="10">
    <w:abstractNumId w:val="24"/>
  </w:num>
  <w:num w:numId="11">
    <w:abstractNumId w:val="26"/>
  </w:num>
  <w:num w:numId="12">
    <w:abstractNumId w:val="32"/>
  </w:num>
  <w:num w:numId="13">
    <w:abstractNumId w:val="20"/>
  </w:num>
  <w:num w:numId="14">
    <w:abstractNumId w:val="31"/>
  </w:num>
  <w:num w:numId="15">
    <w:abstractNumId w:val="29"/>
  </w:num>
  <w:num w:numId="16">
    <w:abstractNumId w:val="19"/>
  </w:num>
  <w:num w:numId="17">
    <w:abstractNumId w:val="3"/>
  </w:num>
  <w:num w:numId="18">
    <w:abstractNumId w:val="28"/>
  </w:num>
  <w:num w:numId="19">
    <w:abstractNumId w:val="4"/>
  </w:num>
  <w:num w:numId="20">
    <w:abstractNumId w:val="43"/>
  </w:num>
  <w:num w:numId="21">
    <w:abstractNumId w:val="2"/>
  </w:num>
  <w:num w:numId="22">
    <w:abstractNumId w:val="11"/>
  </w:num>
  <w:num w:numId="23">
    <w:abstractNumId w:val="39"/>
  </w:num>
  <w:num w:numId="24">
    <w:abstractNumId w:val="12"/>
  </w:num>
  <w:num w:numId="25">
    <w:abstractNumId w:val="10"/>
  </w:num>
  <w:num w:numId="26">
    <w:abstractNumId w:val="41"/>
  </w:num>
  <w:num w:numId="27">
    <w:abstractNumId w:val="38"/>
  </w:num>
  <w:num w:numId="28">
    <w:abstractNumId w:val="7"/>
  </w:num>
  <w:num w:numId="29">
    <w:abstractNumId w:val="42"/>
  </w:num>
  <w:num w:numId="30">
    <w:abstractNumId w:val="8"/>
  </w:num>
  <w:num w:numId="31">
    <w:abstractNumId w:val="33"/>
  </w:num>
  <w:num w:numId="32">
    <w:abstractNumId w:val="15"/>
  </w:num>
  <w:num w:numId="33">
    <w:abstractNumId w:val="13"/>
  </w:num>
  <w:num w:numId="34">
    <w:abstractNumId w:val="30"/>
  </w:num>
  <w:num w:numId="35">
    <w:abstractNumId w:val="35"/>
  </w:num>
  <w:num w:numId="36">
    <w:abstractNumId w:val="6"/>
  </w:num>
  <w:num w:numId="37">
    <w:abstractNumId w:val="22"/>
  </w:num>
  <w:num w:numId="38">
    <w:abstractNumId w:val="5"/>
  </w:num>
  <w:num w:numId="39">
    <w:abstractNumId w:val="37"/>
  </w:num>
  <w:num w:numId="40">
    <w:abstractNumId w:val="16"/>
  </w:num>
  <w:num w:numId="41">
    <w:abstractNumId w:val="0"/>
  </w:num>
  <w:num w:numId="42">
    <w:abstractNumId w:val="40"/>
  </w:num>
  <w:num w:numId="43">
    <w:abstractNumId w:val="1"/>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n-US" w:eastAsia="en-US" w:bidi="ar-SA"/>
    </w:rPr>
  </w:style>
  <w:style w:type="paragraph" w:styleId="Heading1">
    <w:name w:val="heading 1"/>
    <w:basedOn w:val="Normal"/>
    <w:uiPriority w:val="1"/>
    <w:qFormat/>
    <w:pPr>
      <w:ind w:left="593" w:hanging="298"/>
      <w:outlineLvl w:val="0"/>
    </w:pPr>
    <w:rPr>
      <w:rFonts w:ascii="Times New Roman" w:eastAsia="Times New Roman" w:hAnsi="Times New Roman" w:cs="Times New Roman"/>
      <w:b/>
      <w:bCs/>
      <w:sz w:val="20"/>
      <w:szCs w:val="20"/>
      <w:lang w:val="en-US" w:eastAsia="en-US" w:bidi="ar-SA"/>
    </w:rPr>
  </w:style>
  <w:style w:type="paragraph" w:styleId="Heading2">
    <w:name w:val="heading 2"/>
    <w:basedOn w:val="Normal"/>
    <w:uiPriority w:val="1"/>
    <w:qFormat/>
    <w:pPr>
      <w:ind w:left="295"/>
      <w:outlineLvl w:val="1"/>
    </w:pPr>
    <w:rPr>
      <w:rFonts w:ascii="Times New Roman" w:eastAsia="Times New Roman" w:hAnsi="Times New Roman" w:cs="Times New Roman"/>
      <w:b/>
      <w:bCs/>
      <w:sz w:val="18"/>
      <w:szCs w:val="18"/>
      <w:lang w:val="en-US" w:eastAsia="en-US"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95"/>
      <w:ind w:left="429" w:hanging="134"/>
    </w:pPr>
    <w:rPr>
      <w:rFonts w:ascii="Times New Roman" w:eastAsia="Times New Roman" w:hAnsi="Times New Roman" w:cs="Times New Roman"/>
      <w:sz w:val="18"/>
      <w:szCs w:val="18"/>
      <w:lang w:val="en-US" w:eastAsia="en-US" w:bidi="ar-SA"/>
    </w:rPr>
  </w:style>
  <w:style w:type="paragraph" w:styleId="TOC2">
    <w:name w:val="toc 2"/>
    <w:basedOn w:val="Normal"/>
    <w:uiPriority w:val="1"/>
    <w:qFormat/>
    <w:pPr>
      <w:spacing w:before="95"/>
      <w:ind w:left="773" w:hanging="270"/>
    </w:pPr>
    <w:rPr>
      <w:rFonts w:ascii="Times New Roman" w:eastAsia="Times New Roman" w:hAnsi="Times New Roman" w:cs="Times New Roman"/>
      <w:sz w:val="18"/>
      <w:szCs w:val="18"/>
      <w:lang w:val="en-US" w:eastAsia="en-US" w:bidi="ar-SA"/>
    </w:rPr>
  </w:style>
  <w:style w:type="paragraph" w:styleId="BodyText">
    <w:name w:val="Body Text"/>
    <w:basedOn w:val="Normal"/>
    <w:uiPriority w:val="1"/>
    <w:qFormat/>
    <w:pPr>
      <w:spacing w:before="156"/>
      <w:ind w:left="295"/>
    </w:pPr>
    <w:rPr>
      <w:rFonts w:ascii="Times New Roman" w:eastAsia="Times New Roman" w:hAnsi="Times New Roman" w:cs="Times New Roman"/>
      <w:sz w:val="18"/>
      <w:szCs w:val="18"/>
      <w:lang w:val="en-US" w:eastAsia="en-US" w:bidi="ar-SA"/>
    </w:rPr>
  </w:style>
  <w:style w:type="paragraph" w:styleId="Title">
    <w:name w:val="Title"/>
    <w:basedOn w:val="Normal"/>
    <w:uiPriority w:val="1"/>
    <w:qFormat/>
    <w:pPr>
      <w:ind w:left="2553" w:right="496" w:hanging="1815"/>
    </w:pPr>
    <w:rPr>
      <w:rFonts w:ascii="Times New Roman" w:eastAsia="Times New Roman" w:hAnsi="Times New Roman" w:cs="Times New Roman"/>
      <w:b/>
      <w:bCs/>
      <w:sz w:val="48"/>
      <w:szCs w:val="48"/>
      <w:lang w:val="en-US" w:eastAsia="en-US" w:bidi="ar-SA"/>
    </w:rPr>
  </w:style>
  <w:style w:type="paragraph" w:styleId="ListParagraph">
    <w:name w:val="List Paragraph"/>
    <w:basedOn w:val="Normal"/>
    <w:uiPriority w:val="1"/>
    <w:qFormat/>
    <w:pPr>
      <w:ind w:left="295"/>
    </w:pPr>
    <w:rPr>
      <w:rFonts w:ascii="Times New Roman" w:eastAsia="Times New Roman" w:hAnsi="Times New Roman" w:cs="Times New Roman"/>
      <w:lang w:val="en-US" w:eastAsia="en-US" w:bidi="ar-SA"/>
    </w:rPr>
  </w:style>
  <w:style w:type="paragraph" w:customStyle="1" w:styleId="TableParagraph">
    <w:name w:val="Table Paragraph"/>
    <w:basedOn w:val="Normal"/>
    <w:uiPriority w:val="1"/>
    <w:qFormat/>
    <w:rPr>
      <w:rFonts w:ascii="Times New Roman" w:eastAsia="Times New Roman" w:hAnsi="Times New Roman" w:cs="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pn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pn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footer" Target="footer1.xml"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jpe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jpeg" /><Relationship Id="rId5" Type="http://schemas.openxmlformats.org/officeDocument/2006/relationships/footer" Target="footer2.xml" /><Relationship Id="rId50" Type="http://schemas.openxmlformats.org/officeDocument/2006/relationships/image" Target="media/image45.jpeg" /><Relationship Id="rId51" Type="http://schemas.openxmlformats.org/officeDocument/2006/relationships/image" Target="media/image46.jpeg" /><Relationship Id="rId52" Type="http://schemas.openxmlformats.org/officeDocument/2006/relationships/image" Target="media/image47.jpeg" /><Relationship Id="rId53" Type="http://schemas.openxmlformats.org/officeDocument/2006/relationships/image" Target="media/image48.jpeg" /><Relationship Id="rId54" Type="http://schemas.openxmlformats.org/officeDocument/2006/relationships/image" Target="media/image49.jpeg" /><Relationship Id="rId55" Type="http://schemas.openxmlformats.org/officeDocument/2006/relationships/image" Target="media/image50.jpeg" /><Relationship Id="rId56" Type="http://schemas.openxmlformats.org/officeDocument/2006/relationships/image" Target="media/image51.jpeg" /><Relationship Id="rId57" Type="http://schemas.openxmlformats.org/officeDocument/2006/relationships/image" Target="media/image52.jpeg" /><Relationship Id="rId58" Type="http://schemas.openxmlformats.org/officeDocument/2006/relationships/image" Target="media/image53.jpeg" /><Relationship Id="rId59" Type="http://schemas.openxmlformats.org/officeDocument/2006/relationships/image" Target="media/image54.jpeg" /><Relationship Id="rId6" Type="http://schemas.openxmlformats.org/officeDocument/2006/relationships/image" Target="media/image1.jpeg" /><Relationship Id="rId60" Type="http://schemas.openxmlformats.org/officeDocument/2006/relationships/image" Target="media/image55.jpeg" /><Relationship Id="rId61" Type="http://schemas.openxmlformats.org/officeDocument/2006/relationships/image" Target="media/image56.jpeg" /><Relationship Id="rId62" Type="http://schemas.openxmlformats.org/officeDocument/2006/relationships/image" Target="media/image57.jpeg" /><Relationship Id="rId63" Type="http://schemas.openxmlformats.org/officeDocument/2006/relationships/image" Target="media/image58.jpeg" /><Relationship Id="rId64" Type="http://schemas.openxmlformats.org/officeDocument/2006/relationships/image" Target="media/image59.jpeg" /><Relationship Id="rId65" Type="http://schemas.openxmlformats.org/officeDocument/2006/relationships/image" Target="media/image60.jpeg" /><Relationship Id="rId66" Type="http://schemas.openxmlformats.org/officeDocument/2006/relationships/image" Target="media/image61.jpeg" /><Relationship Id="rId67" Type="http://schemas.openxmlformats.org/officeDocument/2006/relationships/image" Target="media/image62.jpeg" /><Relationship Id="rId68" Type="http://schemas.openxmlformats.org/officeDocument/2006/relationships/image" Target="media/image63.jpeg" /><Relationship Id="rId69" Type="http://schemas.openxmlformats.org/officeDocument/2006/relationships/image" Target="media/image64.jpeg" /><Relationship Id="rId7" Type="http://schemas.openxmlformats.org/officeDocument/2006/relationships/image" Target="media/image2.jpeg" /><Relationship Id="rId70" Type="http://schemas.openxmlformats.org/officeDocument/2006/relationships/image" Target="media/image65.jpeg" /><Relationship Id="rId71" Type="http://schemas.openxmlformats.org/officeDocument/2006/relationships/image" Target="media/image66.jpeg" /><Relationship Id="rId72" Type="http://schemas.openxmlformats.org/officeDocument/2006/relationships/image" Target="media/image67.jpeg" /><Relationship Id="rId73" Type="http://schemas.openxmlformats.org/officeDocument/2006/relationships/image" Target="media/image68.jpeg" /><Relationship Id="rId74" Type="http://schemas.openxmlformats.org/officeDocument/2006/relationships/image" Target="media/image69.jpeg" /><Relationship Id="rId75" Type="http://schemas.openxmlformats.org/officeDocument/2006/relationships/image" Target="media/image70.jpeg" /><Relationship Id="rId76" Type="http://schemas.openxmlformats.org/officeDocument/2006/relationships/image" Target="media/image71.jpeg" /><Relationship Id="rId77" Type="http://schemas.openxmlformats.org/officeDocument/2006/relationships/image" Target="media/image72.jpeg" /><Relationship Id="rId78" Type="http://schemas.openxmlformats.org/officeDocument/2006/relationships/image" Target="media/image73.jpeg" /><Relationship Id="rId79" Type="http://schemas.openxmlformats.org/officeDocument/2006/relationships/image" Target="media/image74.jpeg" /><Relationship Id="rId8" Type="http://schemas.openxmlformats.org/officeDocument/2006/relationships/image" Target="media/image3.jpeg" /><Relationship Id="rId80" Type="http://schemas.openxmlformats.org/officeDocument/2006/relationships/image" Target="media/image75.jpeg" /><Relationship Id="rId81" Type="http://schemas.openxmlformats.org/officeDocument/2006/relationships/image" Target="media/image76.jpeg" /><Relationship Id="rId82" Type="http://schemas.openxmlformats.org/officeDocument/2006/relationships/image" Target="media/image77.jpeg" /><Relationship Id="rId83" Type="http://schemas.openxmlformats.org/officeDocument/2006/relationships/image" Target="media/image78.jpeg" /><Relationship Id="rId84" Type="http://schemas.openxmlformats.org/officeDocument/2006/relationships/image" Target="media/image79.jpeg" /><Relationship Id="rId85" Type="http://schemas.openxmlformats.org/officeDocument/2006/relationships/image" Target="media/image80.jpeg" /><Relationship Id="rId86" Type="http://schemas.openxmlformats.org/officeDocument/2006/relationships/image" Target="media/image81.png" /><Relationship Id="rId87" Type="http://schemas.openxmlformats.org/officeDocument/2006/relationships/image" Target="media/image82.png" /><Relationship Id="rId88" Type="http://schemas.openxmlformats.org/officeDocument/2006/relationships/hyperlink" Target="mailto:szhk@hawkmedical.cn" TargetMode="External" /><Relationship Id="rId89" Type="http://schemas.openxmlformats.org/officeDocument/2006/relationships/hyperlink" Target="http://www.hawkmedical.cn/" TargetMode="External" /><Relationship Id="rId9" Type="http://schemas.openxmlformats.org/officeDocument/2006/relationships/image" Target="media/image4.jpeg" /><Relationship Id="rId90" Type="http://schemas.openxmlformats.org/officeDocument/2006/relationships/footer" Target="footer3.xml" /><Relationship Id="rId91" Type="http://schemas.openxmlformats.org/officeDocument/2006/relationships/theme" Target="theme/theme1.xml" /><Relationship Id="rId92" Type="http://schemas.openxmlformats.org/officeDocument/2006/relationships/numbering" Target="numbering.xml" /><Relationship Id="rId9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输液泵HK-100使用手册</dc:title>
  <dc:creator>User</dc:creator>
  <cp:keywords>, docId:CB860BB798F685F0FDF14A81A8C368A4</cp:keywords>
  <cp:revision>0</cp:revision>
  <dcterms:created xsi:type="dcterms:W3CDTF">2025-10-10T08:27:48Z</dcterms:created>
  <dcterms:modified xsi:type="dcterms:W3CDTF">2025-10-10T08:27:48Z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Creator">
    <vt:lpwstr>WPS 文字</vt:lpwstr>
  </property>
  <property fmtid="{D5CDD505-2E9C-101B-9397-08002B2CF9AE}" pid="4" name="LastSaved">
    <vt:filetime>2025-10-10T00:00:00Z</vt:filetime>
  </property>
  <property fmtid="{D5CDD505-2E9C-101B-9397-08002B2CF9AE}" pid="5" name="SourceModified">
    <vt:lpwstr>D:20250414153035+08'00'</vt:lpwstr>
  </property>
</Properties>
</file>